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157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5009522-37.2012.4.04.7003/PR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13/10/2014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presumida a periculosidade da atividade do frentista e se é devido o reconhecimento da especialidade do serviço prestado, com a consequente conversão em tempo comum, para fins de concessão de aposentadoria por tempo de contribuição."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"Não há presunção legal de periculosidade da atividade do frentista, sendo devida a conversão de tempo especial em comum, para concessão de aposentadoria por tempo de contribuição, desde que comprovado o exercício da atividade e o contato com os agentes nocivos por formulário ou laudo, tendo em vista se tratar de atividade não enquadrada no rol dos Decretos n. 53.831/64 e 83.080/79." (Tema 157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Tempo de Contribuição (Art. 55/6), Benefícios em Espécie, DIREITO PREVIDENCIÁRIO, Averbação/Cômputo/Conversão de tempo de serviço especial, Tempo de serviço,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