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5012755-25.2015.4.04.7201/SC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01/06/2017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1º/9/2020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segurado que exerce atividades em condições especiais, quando em gozo do benefício por incapacidade, faz jus ou não ao cômputo de tal intervalo como especial."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período de auxílio-doença de natureza previdenciária, independente de comprovação da relação da moléstia com a atividade profissional do segurado, deve ser considerado como tempo especial quando trabalhador exercia atividade especial antes do afastamento. Tese no mesmo sentido do Tema 998/STJ: O Segurado que exerce atividades em condições especiais, quando em gozo de auxílio-doença, seja acidentário ou previdenciário, faz jus ao cômputo desse mesmo período como tempo de serviço especial. Obs.: com base no § 1º do art. 1.036 do CPC, foi admitido como representativo de controvérsia o recurso extraordinário interposto contra acórdão proferido no julgamento do Recurso Especial n. 1.723.181/RS (Tema Repetitivo n. 998/STJ). OBS: O STF, no julgamento do Tema 1107 (RE 1279819), decidiu que não há repercussão geral acerca da matéria." (Tema 165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RMI - Renda Mensal Inicial, RMI - Renda Mensal Inicial, Reajustes e Revisões Específicas, DIREITO PREVIDENCIÁRIO, Averbação/Cômputo/Conversão de tempo de serviço especial, Tempo de serviço,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