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Espécies de títulos de crédito, Obrigações, DIREITO CIVIL, Indenização por dano material, Responsabilidade civil, DIREITO CIVIL,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