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Ausência/Deficiência de Fiscalização, Indenização por Dano Moral, Responsabilidade da Administração,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