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335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5029053-17.2021.4.03.6100/SP PEDILEF 1050950-69.2021.4.01.3500/GO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16/08/2023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Feito sobrestado até o julgamento do Tema 1290/STJ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é devido o pagamento de salário maternidade à segurada gestante cujo serviço desempenhado é incompatível com a prestação de atividades à distância, tendo em vista o disposto na Lei nº 14.151/2021, que prevê o afastamento das atividades presenciais da segurada gestante durante a emergência de saúde pública decorrente do novo Coronavírus."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"Enquadra-se como salário-maternidade a remuneração paga às trabalhadoras gestantes afastadas por força da Lei 14.151/21, quando comprovada a incompatibilidade com o trabalho à distância e for inviável a alteração de suas funções." (Tema 335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Fornecimento de insumos, Pública, DIREITO DA SAÚDE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