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271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0506200-37.2014.4.05.8200/PB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26/06/2020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24/11/2020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se, para a aplicação do interstício de 18 meses, previsto no art. 7º, § 2º, Lei n. 10.855/2004, para a promoção e progressão funcional na “carreira do seguro social” havia, ou não, a necessidade de regulamentação, conforme previsto no art. 8º da citada lei, com a redação que lhe foi dada pela Lei n. 11.501, de 2007."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"Para a aplicação do interstício de 18 meses, previsto no art. 7.º, §2º, da Lei n.º 10.855/2004, enquanto vigente a redação dada pela Lei n.º 11.501/2007, para a promoção e progressão funcional na carreira do seguro social, havia a necessidade de regulamentação, conforme previsto no art. 8.º da citada Lei." (Tema 271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Progressão Funcional com Interstício de Doze Meses, Promoção / Ascensão, Regime Estatutário, Servidor Público Civil, DIREITO ADMINISTRATIVO E OUTRAS MATÉRIAS DE DIREITO PÚBLICO, Sistema Remuneratório e Benefícios, Servidor Público Civil, DIREITO ADMINISTRATIVO E OUTRAS MATÉRIAS DE DIREITO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