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F">
      <w:pPr>
        <w:pStyle w:val="Heading2"/>
        <w:spacing w:after="160" w:before="0" w:lineRule="auto"/>
        <w:jc w:val="both"/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</w:rPr>
      </w:pPr>
      <w:bookmarkStart w:colFirst="0" w:colLast="0" w:name="_d3nn85xa6y4l" w:id="1"/>
      <w:bookmarkEnd w:id="1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26"/>
          <w:szCs w:val="26"/>
          <w:shd w:fill="cccccc" w:val="clear"/>
          <w:rtl w:val="0"/>
        </w:rPr>
        <w:t>PU-TEMA TNU-SOBRESTAMENTO</w:t>
      </w:r>
    </w:p>
    <w:p w:rsidR="00000000" w:rsidDel="00000000" w:rsidP="00000000" w:rsidRDefault="00000000" w:rsidRPr="00000000" w14:paraId="00000011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345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PEDILEF 0002043-86.2013.4.01.3815/DF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pendente de julgamento (afetado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22/11/2023 16/10/2024 (ED)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 –, por meio do qual se elucidará a seguinte questão: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reconhecimento de tempo especial por exposição a agentes nocivos, prestado sob regime estatutário, ou seja, após o advento da Lei nº 8.112/90, justifica a fixação do termo inicial da prescrição quinquenal de fundo de direito em data diversa do ato de concessão da aposentadoria de servidor público, cuja revisão se almeja."</w:t>
      </w:r>
    </w:p>
    <w:p w:rsidR="00000000" w:rsidDel="00000000" w:rsidP="00000000" w:rsidRDefault="00000000" w:rsidRPr="00000000" w14:paraId="00000013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SOBRESTAMENTO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do PU interposto nestes autos – o qual versa sobre a mesma matéria –, na forma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u w:val="single"/>
          <w:rtl w:val="0"/>
        </w:rPr>
        <w:t xml:space="preserve"> art. 14, II, 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da Resolução CJF n. 586/2019 c/c 1.030, III, do CPC, até o julgamento final do representativo da controvérsia, o PU no processo n.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PEDILEF 0002043-86.2013.4.01.3815/DF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highlight w:val="yellow"/>
          <w:rtl w:val="0"/>
        </w:rPr>
        <w:t xml:space="preserve">345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TNU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