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5020036-21.2013.4.04.7001/PR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26/10/2018 - afetado pelo Pleno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 prazo prescricional das ações de repetição de indébito relativos a IR de pessoa física."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pretensão de repetição de indébito do imposto de renda, que incidiu indevidamente em razão do já recolhimento da exação no interregno de janeiro de 1989 a dezembro de 1995, o termo inicial do prazo quinquenal segue a sistemática das obrigações de trato sucessivo, incidindo no momento do pagamento indevido, ocorrido quando da bitributação." (Tema 194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TRIBUTÁRIO, Antecipação de Tutela / Tutela Específica, Processo e Procedimento,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