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0504108- 62.2009.4.05.8200/ 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06/05/2011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12/09/2018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renovação do requerimento administrativo para concessão de benefício assistencial."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ajuizamento de ações visando o recebimento do benefício previsto no art. 203, V, da Constituição Federal não exige a renovação bienal do requerimento administrativo, afastada a indevida analogia ao art. 21, da Lei n. 8.742/93. RE 914797 - DECISÃO STF: determino a devolução dos autos ao Juízo de origem para que seja observada a decisão do Supremo no precedente RE 631.240 - TEMA 350." (Tema 10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Idoso, Benefício Assistencial (Art. 203,V CF/88), DIREITO ASSISTENCIAL,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