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0500255-75.2019.4.05.8303/PE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16/10/2020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25/04/2022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"Saber, à vista do decidido no Tema 164/TNU, quais as consequências da ausência de pedido administrativo de prorrogação do auxílio-doença cessado por alta programada na postulação judicial de restabelecimento do benefício."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direito à continuidade do benefício por incapacidade temporária com estimativa de DCB (alta programada) pressupõe, por parte do segurado, pedido de prorrogação (§ 9º, art. 60 da Lei n. 8.213/91), recurso administrativo ou pedido de reconsideração, quando previstos normativamente, sem o quê não se configura interesse de agir em juízo." (Tema 277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Incapacidade Laborativa Temporária, Auxílio-Acidente (Art. 86), Benefícios em Espécie,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