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230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0028697-44.2016.4.01.3900/PA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18/09/2019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01/06/2021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"Estabelecer qual a base de cálculo do Imposto sobre Operações de Crédito, Câmbio e Seguro ou relativas a Títulos ou Valores Mobiliários (IOF) no caso de contratos de crédito prorrogados, renovados ou renegociados."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"Não haverá incidência de IOF complementar sobre o saldo devedor não liquidado de operação de crédito objeto de prorrogação, renovação, novação, composição, consolidação, confissão de dívida e negócios assemelhados, sem substituição de devedor, caso na operação de origem tenha sido aplicado o limite máximo previsto no art. 7º, §1º do Decreto n. 6306/2007 (alíquota vigente aplicada ao valor do principal colocado a disposição do devedor, multiplicada por 365 dias, acrescida da alíquota adicional de 0,038%). Todavia, nos casos em que na operação de origem a alíquota aplicada tenha sido inferior à máxima prevista no Decreto n. 6.306/2007 haverá a incidência da exação, sobre o saldo não liquidado, sem que se cogite bis in idem. Por sua vez, a base de cálculo do IOF nos casos de contratos de crédito prorrogados, renovados ou renegociados é o saldo não liquidado. A entrega ou colocação de novos valores ao mutuário na mesma oportunidade constitui nova base de cálculo que permite a incidência de IOF nos termos do art. 7o § 9o do 6.306 de 14 de dezembro de 2007." (Tema 230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IPVA - Imposto Sobre Propriedade de Veículos Automotores, Impostos, DIREITO TRIBUTÁRIO, ICMS/ Imposto sobre Circulação de Mercadorias, Impostos, DIREITO TRIBUTÁRIO, IPI/ Imposto sobre Produtos Industrializados, Impostos, DIREITO TRIBUTÁRIO, IOC/IOF Imposto sobre operações de crédito, câmbio e seguro, ou relativas a títulos ou valores mobiliários,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