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183</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0500796-67.2017.4.05.8307/PE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21/06/2018 (afetado pelo Pleno da TNU)</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24/09/2019 (no STF - RE 1194635/PE)</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"Decidir se INSS tem responsabilidade civil pelos danos patrimoniais ou morais decorrentes de empréstimo consignado não autorizado."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"I - O INSS não tem responsabilidade civil pelos danos patrimoniais ou extrapatrimoniais decorrentes de “empréstimo consignado”, concedido mediante fraude, se a instituição financeira credora é a mesma responsável pelo pagamento do benefício previdenciário, nos termos do art. 6º, da Lei n. 10.820/03; II – O INSS pode ser civilmente responsabilizado por danos patrimoniais ou extrapatrimoniais, se demonstrada negligência, por omissão injustificada no desempenho do dever de fiscalização, se os “empréstimos consignados” forem concedidos, de forma fraudulenta, por instituições financeiras distintas daquelas responsáveis pelo pagamento dos benefícios previdenciários. A responsabilidade do INSS, nessa hipótese, é subsidiária em relação à responsabilidade civil da instituição financeira." (Tema 183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Menor sob Guarda, Urbana (Pensão por Morte (Art. 74/9)), Pensão por Morte (Art. 74/9), Benefícios em Espécie, DIREITO PREVIDENCIÁRIO, Indenização por dano moral, Responsabilidade civil, DIREITO CIVIL</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