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(Art. 48/51),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