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314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5005261-71.2013.4.04.7010/PR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10/11/2022 15/03/2023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25/10/2023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é válida a cláusula de seguro habitacional que exclui da cobertura securitária os vícios de construção."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"(1) À luz dos parâmetros da boa-fé objetiva e da função social do contrato, os vícios estruturais de construção estão acobertados pelo seguro habitacional, sendo nula cláusula em contrário. (2) Desde que o sinistro tenha ocorrido no período de vigência contratual, a cobertura securitária prolonga-se no tempo, de modo a abranger os vícios descobertos após a extinção do contrato (vícios ocultos)." (Tema 314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Vícios de Construção, Sistema Financeiro da Habitação SFH, Espécies de contratos, Obrigações, DIREITO CIVIL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