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157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5009522-37.2012.4.04.7003/PR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29/10/2013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13/10/2014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presumida a periculosidade da atividade do frentista e se é devido o reconhecimento da especialidade do serviço prestado, com a consequente conversão em tempo comum, para fins de concessão de aposentadoria por tempo de contribuição."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"Não há presunção legal de periculosidade da atividade do frentista, sendo devida a conversão de tempo especial em comum, para concessão de aposentadoria por tempo de contribuição, desde que comprovado o exercício da atividade e o contato com os agentes nocivos por formulário ou laudo, tendo em vista se tratar de atividade não enquadrada no rol dos Decretos n. 53.831/64 e 83.080/79." (Tema 157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Aposentadoria por Tempo de Contribuição (Art. 55/6), Benefícios em Espécie, DIREITO PREVIDENCIÁRIO, Averbação/Cômputo/Conversão de tempo de serviço especial, Tempo de serviço, DIREITO PREVIDENCIÁRIO, Concessão, Pedidos Genéricos Relativos aos Benefícios em Espécie, DIREITO PREVIDENCIÁRIO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