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Acidente Ferroviário, Acidentes, Indenização por Dano Material,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