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0506200-37.2014.4.05.8200/PB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para a aplicação do interstício de 18 meses, previsto no art. 7º, § 2º, Lei n. 10.855/2004, para a promoção e progressão funcional na “carreira do seguro social” havia, ou não, a necessidade de regulamentação, conforme previsto no art. 8º da citada lei, com a redação que lhe foi dada pela Lei n. 11.501, de 2007."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"Para a aplicação do interstício de 18 meses, previsto no art. 7.º, §2º, da Lei n.º 10.855/2004, enquanto vigente a redação dada pela Lei n.º 11.501/2007, para a promoção e progressão funcional na carreira do seguro social, havia a necessidade de regulamentação, conforme previsto no art. 8.º da citada Lei." (Tema 271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Progressão Funcional com Interstício de Doze Meses, Promoção / Ascensão, Regime Estatutário, Servidor Público Civil, DIREITO ADMINISTRATIVO E OUTRAS MATÉRIAS DE DIREITO PÚBLICO,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