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2009.72.51.000312-4/ 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15/04/2010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18/11/2011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pedido de revisão de benefício de aposentadoria por tempo de contribuição para fins de reconhecimento de tempo especial por categoria profissional depende de prévio requerimento administrativo quando o INSS, apesar de ciente dos elementos necessários, não se pronunciou sobre a especialidade de período anterior à Lei n. 9.032/95."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dispensável prévio requerimento administrativo de revisão de aposentadoria por tempo de contribuição quando houver omissão da autarquia na análise do tempo especial anterior à Lei n. 9.032/95." (Tema 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Incidência sobre Licença-Prêmio/Abono/Indenização,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