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2009.72.51.000312-4/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15/04/2010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18/11/2011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pedido de revisão de benefício de aposentadoria por tempo de contribuição para fins de reconhecimento de tempo especial por categoria profissional depende de prévio requerimento administrativo quando o INSS, apesar de ciente dos elementos necessários, não se pronunciou sobre a especialidade de período anterior à Lei n. 9.032/95."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dispensável prévio requerimento administrativo de revisão de aposentadoria por tempo de contribuição quando houver omissão da autarquia na análise do tempo especial anterior à Lei n. 9.032/95." (Tema 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do Fornecedor, DIREITO DO CONSUMIDOR, Indenização por Dano Material,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