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2008.72.50.003366-8/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13/11/2009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06/12/2011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trabalho urbano do marido ou se percepção posterior de pensão alimentícia descaracteriza condição de segurada especial em regime de economia familiar."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condição de segurada especial em regime de economia familiar não é descaracterizada pelo trabalho urbano do marido da autora ou mesmo pela paga, posterior, de pensão alimentícia, em razão de separação." (Tema 23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Pensão, Militar, DIREITO ADMINISTRATIVO E OUTRAS MATÉRIAS DE DIREITO PÚBLICO, Antecipação de Tutela / Tutela Específica, Processo e Procedimento,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