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35</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2006.63.02.012610-0/SP</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25/10/2011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08/05/2012</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em caso de contagem recíproca de tempo de contribuição, nos casos de regimes próprios de previdência dos servidores públicos, deve haver indenização de contribuições previdenciárias em caso de averbação de tempo rural."</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averbação de tempo de trabalho rural nos regimes próprios de previdência dos servidores públicos exige a indenização das respectivas contribuições previdenciárias, para efeitos de contagem recíproca de tempo de contribuição." (Tema 35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Servidores Inativos, Contribuições Previdenciárias, Contribuições, DIREITO TRIBUTÁRIO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