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E">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Verifica-se que a questão objeto da controvérsia jurídica suscitada no recurso manejado pela parte recorrente esteve afetada no representativo da controvérsia - </w:t>
      </w:r>
      <w:r w:rsidDel="00000000" w:rsidR="00000000" w:rsidRPr="00000000">
        <w:rPr>
          <w:rFonts w:ascii="Times New Roman" w:cs="Times New Roman" w:eastAsia="Times New Roman" w:hAnsi="Times New Roman"/>
          <w:b w:val="1"/>
          <w:bCs w:val="1"/>
          <w:color w:val="052229"/>
          <w:sz w:val="26"/>
          <w:szCs w:val="26"/>
          <w:rtl w:val="0"/>
        </w:rPr>
        <w:t xml:space="preserve">Tema n. </w:t>
      </w:r>
      <w:r w:rsidDel="00000000" w:rsidR="00000000" w:rsidRPr="00000000">
        <w:rPr>
          <w:rFonts w:ascii="Times New Roman" w:cs="Times New Roman" w:eastAsia="Times New Roman" w:hAnsi="Times New Roman"/>
          <w:b w:val="1"/>
          <w:bCs w:val="1"/>
          <w:color w:val="052229"/>
          <w:sz w:val="26"/>
          <w:szCs w:val="26"/>
          <w:highlight w:val="yellow"/>
          <w:rtl w:val="0"/>
        </w:rPr>
        <w:t>8</w:t>
      </w:r>
      <w:r w:rsidDel="00000000" w:rsidR="00000000" w:rsidRPr="00000000">
        <w:rPr>
          <w:rFonts w:ascii="Times New Roman" w:cs="Times New Roman" w:eastAsia="Times New Roman" w:hAnsi="Times New Roman"/>
          <w:color w:val="052229"/>
          <w:sz w:val="26"/>
          <w:szCs w:val="26"/>
          <w:rtl w:val="0"/>
        </w:rPr>
        <w:t xml:space="preserve"> da TNU - (PU no processo n. </w:t>
      </w:r>
      <w:r w:rsidDel="00000000" w:rsidR="00000000" w:rsidRPr="00000000">
        <w:rPr>
          <w:rFonts w:ascii="Times New Roman" w:cs="Times New Roman" w:eastAsia="Times New Roman" w:hAnsi="Times New Roman"/>
          <w:color w:val="052229"/>
          <w:sz w:val="26"/>
          <w:szCs w:val="26"/>
          <w:highlight w:val="yellow"/>
          <w:rtl w:val="0"/>
        </w:rPr>
        <w:t>PEDILEF 2004.32.00.711706-3/ AM</w:t>
      </w:r>
      <w:r w:rsidDel="00000000" w:rsidR="00000000" w:rsidRPr="00000000">
        <w:rPr>
          <w:rFonts w:ascii="Times New Roman" w:cs="Times New Roman" w:eastAsia="Times New Roman" w:hAnsi="Times New Roman"/>
          <w:color w:val="052229"/>
          <w:sz w:val="26"/>
          <w:szCs w:val="26"/>
          <w:rtl w:val="0"/>
        </w:rPr>
        <w:t>),  afetado em</w:t>
      </w:r>
      <w:r w:rsidDel="00000000" w:rsidR="00000000" w:rsidRPr="00000000">
        <w:rPr>
          <w:rFonts w:ascii="Times New Roman" w:cs="Times New Roman" w:eastAsia="Times New Roman" w:hAnsi="Times New Roman"/>
          <w:color w:val="052229"/>
          <w:sz w:val="26"/>
          <w:szCs w:val="26"/>
          <w:highlight w:val="yellow"/>
          <w:rtl w:val="0"/>
        </w:rPr>
        <w:t xml:space="preserve"> 26/02/2009</w:t>
      </w:r>
      <w:r w:rsidDel="00000000" w:rsidR="00000000" w:rsidRPr="00000000">
        <w:rPr>
          <w:rFonts w:ascii="Times New Roman" w:cs="Times New Roman" w:eastAsia="Times New Roman" w:hAnsi="Times New Roman"/>
          <w:color w:val="052229"/>
          <w:sz w:val="26"/>
          <w:szCs w:val="26"/>
          <w:rtl w:val="0"/>
        </w:rPr>
        <w:t xml:space="preserve"> foi julgado (trânsito em julgado em </w:t>
      </w:r>
      <w:r w:rsidDel="00000000" w:rsidR="00000000" w:rsidRPr="00000000">
        <w:rPr>
          <w:rFonts w:ascii="Times New Roman" w:cs="Times New Roman" w:eastAsia="Times New Roman" w:hAnsi="Times New Roman"/>
          <w:color w:val="052229"/>
          <w:sz w:val="26"/>
          <w:szCs w:val="26"/>
          <w:highlight w:val="yellow"/>
          <w:rtl w:val="0"/>
        </w:rPr>
        <w:t>02/08/2021 (baixa definitiva)</w:t>
      </w:r>
      <w:r w:rsidDel="00000000" w:rsidR="00000000" w:rsidRPr="00000000">
        <w:rPr>
          <w:rFonts w:ascii="Times New Roman" w:cs="Times New Roman" w:eastAsia="Times New Roman" w:hAnsi="Times New Roman"/>
          <w:color w:val="052229"/>
          <w:sz w:val="26"/>
          <w:szCs w:val="26"/>
          <w:rtl w:val="0"/>
        </w:rPr>
        <w:t>), por meio do qual foi elucidada a seguinte questão:</w:t>
      </w:r>
    </w:p>
    <w:p w:rsidR="00000000" w:rsidDel="00000000" w:rsidP="00000000" w:rsidRDefault="00000000" w:rsidRPr="00000000" w14:paraId="0000002F">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"Saber qual o termo inicial dos juros de mora em caso de danos morais por responsabilidade civil extracontratual."</w:t>
      </w:r>
    </w:p>
    <w:p w:rsidR="00000000" w:rsidDel="00000000" w:rsidP="00000000" w:rsidRDefault="00000000" w:rsidRPr="00000000" w14:paraId="00000030">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Restou firmada a seguinte tese:</w:t>
      </w:r>
    </w:p>
    <w:p w:rsidR="00000000" w:rsidDel="00000000" w:rsidP="00000000" w:rsidRDefault="00000000" w:rsidRPr="00000000" w14:paraId="00000031">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"Os juros de mora, no caso de responsabilidade extracontratual, fluem a partir do evento danoso." (Tema 8 TNU).</w:t>
      </w:r>
      <w:r w:rsidDel="00000000" w:rsidR="00000000" w:rsidRPr="00000000">
        <w:rPr>
          <w:rFonts w:ascii="Times New Roman" w:cs="Times New Roman" w:eastAsia="Times New Roman" w:hAnsi="Times New Roman"/>
          <w:b w:val="1"/>
          <w:bCs w:val="1"/>
          <w:i w:val="1"/>
          <w:iCs w:val="1"/>
          <w:color w:val="052229"/>
          <w:rtl w:val="0"/>
        </w:rPr>
      </w:r>
      <w:r w:rsidDel="00000000" w:rsidR="00000000" w:rsidRPr="00000000">
        <w:rPr>
          <w:rFonts w:ascii="Times New Roman" w:cs="Times New Roman" w:eastAsia="Times New Roman" w:hAnsi="Times New Roman"/>
          <w:i w:val="1"/>
          <w:iCs w:val="1"/>
          <w:color w:val="052229"/>
          <w:rtl w:val="0"/>
        </w:rPr>
      </w:r>
    </w:p>
    <w:p w:rsidR="00000000" w:rsidDel="00000000" w:rsidP="00000000" w:rsidRDefault="00000000" w:rsidRPr="00000000" w14:paraId="00000032">
      <w:pPr>
        <w:spacing w:after="280" w:before="280" w:line="288" w:lineRule="auto"/>
        <w:ind w:right="20" w:firstLine="20"/>
        <w:jc w:val="both"/>
        <w:rPr>
          <w:rFonts w:ascii="Times New Roman" w:cs="Times New Roman" w:eastAsia="Times New Roman" w:hAnsi="Times New Roman"/>
          <w:color w:val="052229"/>
          <w:sz w:val="24"/>
          <w:szCs w:val="24"/>
        </w:rPr>
      </w:pPr>
      <w:r w:rsidDel="00000000" w:rsidR="00000000" w:rsidRPr="00000000">
        <w:rPr>
          <w:rFonts w:ascii="Times New Roman" w:cs="Times New Roman" w:eastAsia="Times New Roman" w:hAnsi="Times New Roman"/>
          <w:color w:val="052229"/>
          <w:sz w:val="24"/>
          <w:szCs w:val="24"/>
          <w:rtl w:val="0"/>
        </w:rPr>
        <w:t xml:space="preserve">Com efeito, depreende-se da leitura do voto condutor do acórdão que </w:t>
      </w:r>
      <w:r w:rsidDel="00000000" w:rsidR="00000000" w:rsidRPr="00000000">
        <w:rPr>
          <w:rFonts w:ascii="Times New Roman" w:cs="Times New Roman" w:eastAsia="Times New Roman" w:hAnsi="Times New Roman"/>
          <w:color w:val="052229"/>
          <w:sz w:val="24"/>
          <w:szCs w:val="24"/>
          <w:highlight w:val="yellow"/>
          <w:rtl w:val="0"/>
        </w:rPr>
        <w:t>o mesmo se encontra em conformidade com o</w:t>
      </w:r>
      <w:r w:rsidDel="00000000" w:rsidR="00000000" w:rsidRPr="00000000">
        <w:rPr>
          <w:rFonts w:ascii="Times New Roman" w:cs="Times New Roman" w:eastAsia="Times New Roman" w:hAnsi="Times New Roman"/>
          <w:color w:val="052229"/>
          <w:sz w:val="24"/>
          <w:szCs w:val="24"/>
          <w:rtl w:val="0"/>
        </w:rPr>
        <w:t xml:space="preserve"> decidido no  tema pela TNU.</w:t>
      </w:r>
    </w:p>
    <w:p w:rsidR="00000000" w:rsidDel="00000000" w:rsidP="00000000" w:rsidRDefault="00000000" w:rsidRPr="00000000" w14:paraId="00000033">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A proposito, consta do acordao hostilizado: </w:t>
      </w:r>
      <w:r w:rsidDel="00000000" w:rsidR="00000000" w:rsidRPr="00000000">
        <w:rPr>
          <w:rFonts w:ascii="Times New Roman" w:cs="Times New Roman" w:eastAsia="Times New Roman" w:hAnsi="Times New Roman"/>
          <w:color w:val="052229"/>
          <w:sz w:val="26"/>
          <w:szCs w:val="26"/>
          <w:highlight w:val="yellow"/>
          <w:rtl w:val="0"/>
        </w:rPr>
        <w:t>(...) Indenização por Dano Moral, Responsabilidade do Fornecedor, DIREITO DO CONSUMIDOR, Bancários, Contratos de Consumo, DIREITO DO CONSUMIDOR, Empréstimo consignado, Bancários, Contratos de Consumo, DIREITO DO CONSUMIDOR, Dever de Informação, DIREITO DO CONSUMIDOR</w:t>
      </w:r>
      <w:r w:rsidDel="00000000" w:rsidR="00000000" w:rsidRPr="00000000">
        <w:rPr>
          <w:rtl w:val="0"/>
        </w:rPr>
      </w:r>
    </w:p>
    <w:p w:rsidR="00000000" w:rsidDel="00000000" w:rsidP="00000000" w:rsidRDefault="00000000" w:rsidRPr="00000000" w14:paraId="00000034">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Nessas condições, o conteúdo do Acórdão recorrido é consentâneo com o entendimento da TNU, firmado em julgamento de recurso representativo de controvérsia, o que atrai a incidência da regra prevista pelo art. 14, III, </w:t>
      </w:r>
      <w:r w:rsidDel="00000000" w:rsidR="00000000" w:rsidRPr="00000000">
        <w:rPr>
          <w:rFonts w:ascii="Times New Roman" w:cs="Times New Roman" w:eastAsia="Times New Roman" w:hAnsi="Times New Roman"/>
          <w:i w:val="1"/>
          <w:iCs w:val="1"/>
          <w:color w:val="052229"/>
          <w:sz w:val="26"/>
          <w:szCs w:val="26"/>
          <w:rtl w:val="0"/>
        </w:rPr>
        <w:t>b,</w:t>
      </w:r>
      <w:r w:rsidDel="00000000" w:rsidR="00000000" w:rsidRPr="00000000">
        <w:rPr>
          <w:rFonts w:ascii="Times New Roman" w:cs="Times New Roman" w:eastAsia="Times New Roman" w:hAnsi="Times New Roman"/>
          <w:color w:val="052229"/>
          <w:sz w:val="26"/>
          <w:szCs w:val="26"/>
          <w:rtl w:val="0"/>
        </w:rPr>
        <w:t xml:space="preserve"> da Resolução CJF n. 586/2019:</w:t>
      </w:r>
    </w:p>
    <w:p w:rsidR="00000000" w:rsidDel="00000000" w:rsidP="00000000" w:rsidRDefault="00000000" w:rsidRPr="00000000" w14:paraId="00000035">
      <w:pPr>
        <w:spacing w:after="280" w:before="280" w:line="240" w:lineRule="auto"/>
        <w:ind w:left="2267.716535433071" w:firstLine="0"/>
        <w:jc w:val="both"/>
        <w:rPr>
          <w:rFonts w:ascii="Times New Roman" w:cs="Times New Roman" w:eastAsia="Times New Roman" w:hAnsi="Times New Roman"/>
          <w:i w:val="1"/>
          <w:iCs w:val="1"/>
          <w:color w:val="052229"/>
        </w:rPr>
      </w:pPr>
      <w:r w:rsidDel="00000000" w:rsidR="00000000" w:rsidRPr="00000000">
        <w:rPr>
          <w:rFonts w:ascii="Times New Roman" w:cs="Times New Roman" w:eastAsia="Times New Roman" w:hAnsi="Times New Roman"/>
          <w:b w:val="1"/>
          <w:bCs w:val="1"/>
          <w:i w:val="1"/>
          <w:iCs w:val="1"/>
          <w:color w:val="052229"/>
          <w:rtl w:val="0"/>
        </w:rPr>
        <w:t>Art. 14.</w:t>
      </w:r>
      <w:r w:rsidDel="00000000" w:rsidR="00000000" w:rsidRPr="00000000">
        <w:rPr>
          <w:rFonts w:ascii="Times New Roman" w:cs="Times New Roman" w:eastAsia="Times New Roman" w:hAnsi="Times New Roman"/>
          <w:i w:val="1"/>
          <w:iCs w:val="1"/>
          <w:color w:val="052229"/>
          <w:rtl w:val="0"/>
        </w:rPr>
        <w:t xml:space="preserve"> Decorrido o prazo para contrarrazões, os autos serão conclusos ao magistrado responsável pelo exame preliminar de admissibilidade, que deverá, de forma sucessiva: (...) </w:t>
      </w:r>
      <w:r w:rsidDel="00000000" w:rsidR="00000000" w:rsidRPr="00000000">
        <w:rPr>
          <w:rFonts w:ascii="Times New Roman" w:cs="Times New Roman" w:eastAsia="Times New Roman" w:hAnsi="Times New Roman"/>
          <w:b w:val="1"/>
          <w:bCs w:val="1"/>
          <w:i w:val="1"/>
          <w:iCs w:val="1"/>
          <w:color w:val="052229"/>
          <w:rtl w:val="0"/>
        </w:rPr>
        <w:t xml:space="preserve">III </w:t>
      </w:r>
      <w:r w:rsidDel="00000000" w:rsidR="00000000" w:rsidRPr="00000000">
        <w:rPr>
          <w:rFonts w:ascii="Times New Roman" w:cs="Times New Roman" w:eastAsia="Times New Roman" w:hAnsi="Times New Roman"/>
          <w:i w:val="1"/>
          <w:iCs w:val="1"/>
          <w:color w:val="052229"/>
          <w:rtl w:val="0"/>
        </w:rPr>
        <w:t xml:space="preserve">- negar seguimento a pedido de uniformização de interpretação de lei federal interposto contra acórdão que esteja em conformidade com entendimento consolidado: </w:t>
      </w:r>
      <w:r w:rsidDel="00000000" w:rsidR="00000000" w:rsidRPr="00000000">
        <w:rPr>
          <w:rFonts w:ascii="Times New Roman" w:cs="Times New Roman" w:eastAsia="Times New Roman" w:hAnsi="Times New Roman"/>
          <w:b w:val="1"/>
          <w:bCs w:val="1"/>
          <w:i w:val="1"/>
          <w:iCs w:val="1"/>
          <w:color w:val="052229"/>
          <w:rtl w:val="0"/>
        </w:rPr>
        <w:t>b)</w:t>
      </w:r>
      <w:r w:rsidDel="00000000" w:rsidR="00000000" w:rsidRPr="00000000">
        <w:rPr>
          <w:rFonts w:ascii="Times New Roman" w:cs="Times New Roman" w:eastAsia="Times New Roman" w:hAnsi="Times New Roman"/>
          <w:i w:val="1"/>
          <w:iCs w:val="1"/>
          <w:color w:val="052229"/>
          <w:rtl w:val="0"/>
        </w:rPr>
        <w:t xml:space="preserve"> em </w:t>
      </w:r>
      <w:r w:rsidDel="00000000" w:rsidR="00000000" w:rsidRPr="00000000">
        <w:rPr>
          <w:rFonts w:ascii="Times New Roman" w:cs="Times New Roman" w:eastAsia="Times New Roman" w:hAnsi="Times New Roman"/>
          <w:b w:val="1"/>
          <w:bCs w:val="1"/>
          <w:i w:val="1"/>
          <w:iCs w:val="1"/>
          <w:color w:val="052229"/>
          <w:u w:val="single"/>
          <w:rtl w:val="0"/>
        </w:rPr>
        <w:t>recurso representativo de controvérsia pela Turma Nacional de Uniformização</w:t>
      </w:r>
      <w:r w:rsidDel="00000000" w:rsidR="00000000" w:rsidRPr="00000000">
        <w:rPr>
          <w:rFonts w:ascii="Times New Roman" w:cs="Times New Roman" w:eastAsia="Times New Roman" w:hAnsi="Times New Roman"/>
          <w:i w:val="1"/>
          <w:iCs w:val="1"/>
          <w:color w:val="052229"/>
          <w:rtl w:val="0"/>
        </w:rPr>
        <w:t xml:space="preserve"> ou em pedido de uniformização de interpretação de lei dirigido ao Superior Tribunal de Justiça;(...).</w:t>
      </w:r>
    </w:p>
    <w:p w:rsidR="00000000" w:rsidDel="00000000" w:rsidP="00000000" w:rsidRDefault="00000000" w:rsidRPr="00000000" w14:paraId="00000036">
      <w:pPr>
        <w:spacing w:after="280" w:before="280" w:lineRule="auto"/>
        <w:ind w:right="20" w:firstLine="20"/>
        <w:jc w:val="both"/>
        <w:rPr>
          <w:rFonts w:ascii="Times New Roman" w:cs="Times New Roman" w:eastAsia="Times New Roman" w:hAnsi="Times New Roman"/>
          <w:b w:val="1"/>
          <w:bCs w:val="1"/>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Posto isso, com arrimo no </w:t>
      </w:r>
      <w:r w:rsidDel="00000000" w:rsidR="00000000" w:rsidRPr="00000000">
        <w:rPr>
          <w:rFonts w:ascii="Times New Roman" w:cs="Times New Roman" w:eastAsia="Times New Roman" w:hAnsi="Times New Roman"/>
          <w:b w:val="1"/>
          <w:bCs w:val="1"/>
          <w:color w:val="052229"/>
          <w:sz w:val="26"/>
          <w:szCs w:val="26"/>
          <w:u w:val="single"/>
          <w:rtl w:val="0"/>
        </w:rPr>
        <w:t xml:space="preserve">art. 14, III, </w:t>
      </w:r>
      <w:r w:rsidDel="00000000" w:rsidR="00000000" w:rsidRPr="00000000">
        <w:rPr>
          <w:rFonts w:ascii="Times New Roman" w:cs="Times New Roman" w:eastAsia="Times New Roman" w:hAnsi="Times New Roman"/>
          <w:b w:val="1"/>
          <w:bCs w:val="1"/>
          <w:i w:val="1"/>
          <w:iCs w:val="1"/>
          <w:color w:val="052229"/>
          <w:sz w:val="26"/>
          <w:szCs w:val="26"/>
          <w:u w:val="single"/>
          <w:rtl w:val="0"/>
        </w:rPr>
        <w:t>b</w:t>
      </w:r>
      <w:r w:rsidDel="00000000" w:rsidR="00000000" w:rsidRPr="00000000">
        <w:rPr>
          <w:rFonts w:ascii="Times New Roman" w:cs="Times New Roman" w:eastAsia="Times New Roman" w:hAnsi="Times New Roman"/>
          <w:i w:val="1"/>
          <w:iCs w:val="1"/>
          <w:color w:val="052229"/>
          <w:sz w:val="26"/>
          <w:szCs w:val="26"/>
          <w:rtl w:val="0"/>
        </w:rPr>
        <w:t>,</w:t>
      </w:r>
      <w:r w:rsidDel="00000000" w:rsidR="00000000" w:rsidRPr="00000000">
        <w:rPr>
          <w:rFonts w:ascii="Times New Roman" w:cs="Times New Roman" w:eastAsia="Times New Roman" w:hAnsi="Times New Roman"/>
          <w:color w:val="052229"/>
          <w:sz w:val="26"/>
          <w:szCs w:val="26"/>
          <w:rtl w:val="0"/>
        </w:rPr>
        <w:t xml:space="preserve"> da Resolução CJF n. 586/2019 c/c art. 1.030, I, do CPC, </w:t>
      </w:r>
      <w:r w:rsidDel="00000000" w:rsidR="00000000" w:rsidRPr="00000000">
        <w:rPr>
          <w:rFonts w:ascii="Times New Roman" w:cs="Times New Roman" w:eastAsia="Times New Roman" w:hAnsi="Times New Roman"/>
          <w:b w:val="1"/>
          <w:bCs w:val="1"/>
          <w:color w:val="052229"/>
          <w:sz w:val="26"/>
          <w:szCs w:val="26"/>
          <w:rtl w:val="0"/>
        </w:rPr>
        <w:t xml:space="preserve">NEGO SEGUIMENTO </w:t>
      </w:r>
      <w:r w:rsidDel="00000000" w:rsidR="00000000" w:rsidRPr="00000000">
        <w:rPr>
          <w:rFonts w:ascii="Times New Roman" w:cs="Times New Roman" w:eastAsia="Times New Roman" w:hAnsi="Times New Roman"/>
          <w:b w:val="1"/>
          <w:bCs w:val="1"/>
          <w:color w:val="052229"/>
          <w:sz w:val="26"/>
          <w:szCs w:val="26"/>
          <w:rtl w:val="0"/>
        </w:rPr>
        <w:t>a</w:t>
      </w:r>
      <w:r w:rsidDel="00000000" w:rsidR="00000000" w:rsidRPr="00000000">
        <w:rPr>
          <w:rFonts w:ascii="Times New Roman" w:cs="Times New Roman" w:eastAsia="Times New Roman" w:hAnsi="Times New Roman"/>
          <w:color w:val="052229"/>
          <w:sz w:val="26"/>
          <w:szCs w:val="26"/>
          <w:rtl w:val="0"/>
        </w:rPr>
        <w:t>o</w:t>
      </w:r>
      <w:r w:rsidDel="00000000" w:rsidR="00000000" w:rsidRPr="00000000">
        <w:rPr>
          <w:rFonts w:ascii="Times New Roman" w:cs="Times New Roman" w:eastAsia="Times New Roman" w:hAnsi="Times New Roman"/>
          <w:b w:val="1"/>
          <w:bCs w:val="1"/>
          <w:color w:val="052229"/>
          <w:sz w:val="26"/>
          <w:szCs w:val="26"/>
          <w:rtl w:val="0"/>
        </w:rPr>
        <w:t xml:space="preserve"> PU</w:t>
      </w:r>
      <w:r w:rsidDel="00000000" w:rsidR="00000000" w:rsidRPr="00000000">
        <w:rPr>
          <w:rFonts w:ascii="Times New Roman" w:cs="Times New Roman" w:eastAsia="Times New Roman" w:hAnsi="Times New Roman"/>
          <w:b w:val="1"/>
          <w:bCs w:val="1"/>
          <w:color w:val="052229"/>
          <w:sz w:val="26"/>
          <w:szCs w:val="26"/>
          <w:rtl w:val="0"/>
        </w:rPr>
        <w:t>.</w:t>
      </w:r>
    </w:p>
    <w:p w:rsidR="00000000" w:rsidDel="00000000" w:rsidP="00000000" w:rsidRDefault="00000000" w:rsidRPr="00000000" w14:paraId="00000037">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Intimem-se. Aguarde-se o decurso do prazo recursal. Após, certifique-se o trânsito em julgado e devolva-se ao juízo de origem.</w:t>
      </w:r>
      <w:r w:rsidDel="00000000" w:rsidR="00000000" w:rsidRPr="0000000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ETimKnzKK0ULSqE7UedO_5nH3JVJHt0" TargetMode="External"/><Relationship Id="rId7" Type="http://schemas.openxmlformats.org/officeDocument/2006/relationships/hyperlink" Target="https://docs.google.com/spreadsheets/d/1Mjmsh7iDH9Pdv7vV2IYMBhhOHuKVtkGlYzEh7ipgZ4g/edit?gid=923871152#gid=923871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