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/>
    <w:p>
      <w:r>
        <w:t xml:space="preserve">Processo n°: </w:t>
      </w:r>
      <w:r>
        <w:rPr>
          <w:u w:val="single"/>
        </w:rPr>
        <w:t>5020184-43.2025.4.02.5101</w:t>
      </w:r>
    </w:p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2009.51.51.066212-3/ 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10/06/2011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05/10/2011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a forma de cálculo da aposentadoria por invalidez, do auxílio-doença e pensões derivadas, em momento antecedente à edição da Lei n. 9.876/99."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valor da aposentadoria por invalidez e do auxílio-doença, bem como das pensões destes derivados ou calculadas com base no art. 75, da Lei n. 8.213/91, será obtido, na forma do art. 29, II, do mesmo diploma, por meio da média aritmética simples dos 80% maiores salários de contribuição, considerado todo o período contributivo, independentemente do momento de inscrição do segurado e do número de contribuições mensais do período contributivo." (Tema 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IRPF/Imposto de Renda de Pessoa Física, Impostos, DIREITO TRIBUTÁRIO, Isenção, Limitações ao Poder de Tributar, DIREITO TRIBUTÁRIO, Incidência sobre Aposentadoria, IRPF/Imposto de Renda de Pessoa Física, Impostos,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