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rPr>
          <w:b/>
        </w:rPr>
        <w:t xml:space="preserve">Processo n.: </w:t>
      </w:r>
      <w:r>
        <w:rPr>
          <w:u w:val="single"/>
        </w:rPr>
        <w:t>5003714-34.2025.4.02.5101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5001816-07.2020.4.04.7008/PR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18/08/2022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14/02/2024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auxílio-alimentação integra a base de cálculo da licença-prêmio não usufruída e convertida em pecúnia?"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auxílio-alimentação pago aos servidores públicos federais (Lei n. 8.460/92) integra a base de cálculo da licença-prêmio não usufruída e convertida em pecúnia." (Tema 309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