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2"/>
        <w:spacing w:before="0" w:after="160" w:lineRule="auto"/>
        <w:jc w:val="both"/>
      </w:pPr>
      <w:r>
        <w:rPr>
          <w:rFonts w:ascii="Book Antiqua" w:hAnsi="Book Antiqua"/>
          <w:b/>
          <w:sz w:val="26"/>
        </w:rPr>
        <w:t xml:space="preserve">Processo n.: </w:t>
      </w:r>
      <w:r>
        <w:rPr>
          <w:rFonts w:ascii="Book Antiqua" w:hAnsi="Book Antiqua"/>
          <w:b/>
          <w:sz w:val="26"/>
          <w:u w:val="single"/>
        </w:rPr>
        <w:t>5076365-98.2024.4.02.5101</w:t>
      </w:r>
    </w:p>
    <w:p w:rsidR="00000000" w:rsidDel="00000000" w:rsidP="00000000" w:rsidRDefault="00000000" w:rsidRPr="00000000" w14:paraId="0000000F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d3nn85xa6y4l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>PU-TEMA TNU-SOBRESTAMENTO</w:t>
      </w:r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345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PEDILEF 0002043-86.2013.4.01.3815/DF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22/11/2023 16/10/2024 (ED)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reconhecimento de tempo especial por exposição a agentes nocivos, prestado sob regime estatutário, ou seja, após o advento da Lei nº 8.112/90, justifica a fixação do termo inicial da prescrição quinquenal de fundo de direito em data diversa do ato de concessão da aposentadoria de servidor público, cuja revisão se almeja."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PEDILEF 0002043-86.2013.4.01.3815/DF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 xml:space="preserve">345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