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2"/>
        <w:spacing w:before="0" w:after="160" w:lineRule="auto"/>
        <w:jc w:val="both"/>
      </w:pPr>
      <w:r>
        <w:rPr>
          <w:rFonts w:ascii="Book Antiqua" w:hAnsi="Book Antiqua"/>
          <w:b/>
          <w:sz w:val="26"/>
        </w:rPr>
        <w:t xml:space="preserve">Processo n.: </w:t>
      </w:r>
      <w:r>
        <w:rPr>
          <w:rFonts w:ascii="Book Antiqua" w:hAnsi="Book Antiqua"/>
          <w:b/>
          <w:sz w:val="26"/>
          <w:u w:val="single"/>
        </w:rPr>
        <w:t>5056703-85.2023.4.02.5101</w:t>
      </w:r>
    </w:p>
    <w:p w:rsidR="00000000" w:rsidDel="00000000" w:rsidP="00000000" w:rsidRDefault="00000000" w:rsidRPr="00000000" w14:paraId="0000000F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d3nn85xa6y4l" w:id="1"/>
      <w:bookmarkEnd w:id="1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>PU-TEMA TNU-SOBRESTAMENTO</w:t>
      </w:r>
    </w:p>
    <w:p w:rsidR="00000000" w:rsidDel="00000000" w:rsidP="00000000" w:rsidRDefault="00000000" w:rsidRPr="00000000" w14:paraId="00000011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Verifica-se que a questão objeto da controvérsia jurídica suscitada pelo recurso manejado pela parte recorrente encontra-se afetada ao Tema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172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da jurisprudência da TNU – 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PEDILEF 0514224-28.2017.4.05.8013/AL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pendente de julgamento (afetado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29/05/2018 26/10/2018 - manutenção da afetação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 –, por meio do qual se elucidará a seguinte questão: 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possível ou não aplicação da regra prevista no art. 29, I e II, da Lei 8.213/91, quando mais favorável que a regra de transição prevista no art. 3º da Lei 9.876/99."</w:t>
      </w:r>
    </w:p>
    <w:p w:rsidR="00000000" w:rsidDel="00000000" w:rsidP="00000000" w:rsidRDefault="00000000" w:rsidRPr="00000000" w14:paraId="00000013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SOBRESTAMENTO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do PU interposto nestes autos – o qual versa sobre a mesma matéria –, na forma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u w:val="single"/>
          <w:rtl w:val="0"/>
        </w:rPr>
        <w:t xml:space="preserve"> art. 14, II, 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da Resolução CJF n. 586/2019 c/c 1.030, III, do CPC, até o julgamento final do representativo da controvérsia, o PU no processo n.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PEDILEF 0514224-28.2017.4.05.8013/AL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highlight w:val="yellow"/>
          <w:rtl w:val="0"/>
        </w:rPr>
        <w:t xml:space="preserve">172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TNU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Intimem-se. Cumpra-se.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