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280" w:after="280" w:lineRule="auto"/>
        <w:ind w:right="20" w:firstLine="20"/>
        <w:jc w:val="both"/>
      </w:pPr>
      <w:r>
        <w:rPr>
          <w:rFonts w:ascii="Times New Roman" w:hAnsi="Times New Roman"/>
          <w:color w:val="052229"/>
          <w:sz w:val="24"/>
        </w:rPr>
        <w:t xml:space="preserve">Processo n.: </w:t>
      </w:r>
      <w:r>
        <w:rPr>
          <w:rFonts w:ascii="Times New Roman" w:hAnsi="Times New Roman"/>
          <w:color w:val="052229"/>
          <w:sz w:val="24"/>
          <w:u w:val="single"/>
        </w:rPr>
        <w:t>5056703-85.2023.4.02.5101</w:t>
      </w:r>
    </w:p>
    <w:p w:rsidR="00000000" w:rsidDel="00000000" w:rsidP="00000000" w:rsidRDefault="00000000" w:rsidRPr="00000000" w14:paraId="00000011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Verifica-se que a questão objeto da controvérsia jurídica suscitada pelo recurso manejado pela parte recorrente encontra-se afetada ao Tema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da jurisprudência da TNU – 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PEDILEF 0514224-28.2017.4.05.8013/AL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pendente de julgamento (afetado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29/05/2018 26/10/2018 - manutenção da afetação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 –, por meio do qual se elucidará a seguinte questão: 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1757" w:right="454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ou não aplicação da regra prevista no art. 29, I e II, da Lei 8.213/91, quando mais favorável que a regra de transição prevista no art. 3º da Lei 9.876/99."</w:t>
      </w:r>
    </w:p>
    <w:p w:rsidR="00000000" w:rsidDel="00000000" w:rsidP="00000000" w:rsidRDefault="00000000" w:rsidRPr="00000000" w14:paraId="00000013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Nesse contexto, determino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SOBRESTAMENTO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do PU interposto nestes autos – o qual versa sobre a mesma matéria –, na forma 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u w:val="single"/>
          <w:rtl w:val="0"/>
        </w:rPr>
        <w:t xml:space="preserve"> art. 14, II, 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, da Resolução CJF n. 586/2019 c/c 1.030, III, do CPC, até o julgamento final do representativo da controvérsia, o PU no processo n.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 xml:space="preserve"> PEDILEF 0514224-28.2017.4.05.8013/AL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highlight w:val="yellow"/>
          <w:rtl w:val="0"/>
        </w:rPr>
        <w:t xml:space="preserve">172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4"/>
          <w:szCs w:val="24"/>
          <w:rtl w:val="0"/>
        </w:rPr>
        <w:t>TNU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>Intimem-se. Cumpra-se.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