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5020184-43.2025.4.02.5101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2009.72.51.000312-4/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15/04/2010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18/11/2011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pedido de revisão de benefício de aposentadoria por tempo de contribuição para fins de reconhecimento de tempo especial por categoria profissional depende de prévio requerimento administrativo quando o INSS, apesar de ciente dos elementos necessários, não se pronunciou sobre a especialidade de período anterior à Lei n. 9.032/95."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dispensável prévio requerimento administrativo de revisão de aposentadoria por tempo de contribuição quando houver omissão da autarquia na análise do tempo especial anterior à Lei n. 9.032/95." (Tema 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Isenção, Limitações ao Poder de Tributar, DIREITO TRIBUTÁRIO, Incidência sobre Aposentadoria,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