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280" w:after="280" w:line="288" w:lineRule="auto"/>
        <w:ind w:right="20" w:firstLine="20"/>
        <w:jc w:val="both"/>
      </w:pPr>
      <w:r>
        <w:rPr>
          <w:rFonts w:ascii="Times New Roman" w:hAnsi="Times New Roman"/>
          <w:color w:val="052229"/>
          <w:sz w:val="26"/>
        </w:rPr>
        <w:t xml:space="preserve">Processo n.: </w:t>
      </w:r>
      <w:r>
        <w:rPr>
          <w:rFonts w:ascii="Times New Roman" w:hAnsi="Times New Roman"/>
          <w:color w:val="052229"/>
          <w:sz w:val="26"/>
          <w:u w:val="single"/>
        </w:rPr>
        <w:t>5037189-92.2022.4.02.5001</w:t>
      </w:r>
    </w:p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2009.72.51.000312-4/ SC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15/04/2010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18/11/2011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pedido de revisão de benefício de aposentadoria por tempo de contribuição para fins de reconhecimento de tempo especial por categoria profissional depende de prévio requerimento administrativo quando o INSS, apesar de ciente dos elementos necessários, não se pronunciou sobre a especialidade de período anterior à Lei n. 9.032/95."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dispensável prévio requerimento administrativo de revisão de aposentadoria por tempo de contribuição quando houver omissão da autarquia na análise do tempo especial anterior à Lei n. 9.032/95." (Tema 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Moral, Responsabilidade do Fornecedor, DIREITO DO CONSUMIDOR, Indenização por Dano Material, Responsabilidade do Fornecedor,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