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80" w:after="280" w:line="288" w:lineRule="auto"/>
        <w:ind w:right="20" w:firstLine="20"/>
        <w:jc w:val="both"/>
      </w:pPr>
      <w:r>
        <w:rPr>
          <w:rFonts w:ascii="Times New Roman" w:hAnsi="Times New Roman"/>
          <w:color w:val="052229"/>
          <w:sz w:val="26"/>
        </w:rPr>
        <w:t xml:space="preserve">Processo n.: </w:t>
      </w:r>
      <w:r>
        <w:rPr>
          <w:rFonts w:ascii="Times New Roman" w:hAnsi="Times New Roman"/>
          <w:color w:val="052229"/>
          <w:sz w:val="26"/>
          <w:u w:val="single"/>
        </w:rPr>
        <w:t>5017817-46.2025.4.02.5101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0501999-48.2009.4.05.8500/ 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12/09/2011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26/03/2015 - no STF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da progressão funcional de policial federal."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eficácia da progressão funcional deve ser observada segundo a situação individual de cada servidor e seus efeitos retroagem ao momento em que os requisitos legais foram implementados. Vide Tema 82 e PEDILEF n. 500367784.2014.404.7101. Entendimento revisado pelo PEDILEF n. 05207128420124058300 (orientação alinhada ao STJ: RESP 1.649.269/RJ)." (Tema 16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Gratificação de incentivo,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