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80" w:after="280" w:line="288" w:lineRule="auto"/>
        <w:ind w:right="20" w:firstLine="20"/>
        <w:jc w:val="both"/>
      </w:pPr>
      <w:r>
        <w:rPr>
          <w:rFonts w:ascii="Times New Roman" w:hAnsi="Times New Roman"/>
          <w:color w:val="052229"/>
          <w:sz w:val="26"/>
        </w:rPr>
        <w:t xml:space="preserve">Processo n.: </w:t>
      </w:r>
      <w:r>
        <w:rPr>
          <w:rFonts w:ascii="Times New Roman" w:hAnsi="Times New Roman"/>
          <w:color w:val="052229"/>
          <w:sz w:val="26"/>
          <w:u w:val="single"/>
        </w:rPr>
        <w:t>5012949-25.2025.4.02.5101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2006.71.50.004837-5/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11/10/2011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08/03/2012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renúncia tácita da prescrição com o reconhecimento, pela Administração Pública, do direito ao adicional por tempo de serviço."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reconhecimento, pela Administração Pública, do direito ao adicional por tempo de serviço - MP 1.962-25/2000, demonstrou renúncia tácita da prescrição, que volta a fluir na integralidade dos cinco anos, cujo termo a quo é a última edição da MP que se deu sob o n. 2.169-43, em 24/08/2001. Vide Tema 76 da TNU." (Tema 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Fornecimento de insumos,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