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280" w:after="280" w:line="288" w:lineRule="auto"/>
        <w:ind w:right="20" w:firstLine="20"/>
        <w:jc w:val="both"/>
      </w:pPr>
      <w:r>
        <w:rPr>
          <w:rFonts w:ascii="Times New Roman" w:hAnsi="Times New Roman"/>
          <w:color w:val="052229"/>
          <w:sz w:val="26"/>
        </w:rPr>
        <w:t xml:space="preserve">Processo n.: </w:t>
      </w:r>
      <w:r>
        <w:rPr>
          <w:rFonts w:ascii="Times New Roman" w:hAnsi="Times New Roman"/>
          <w:color w:val="052229"/>
          <w:sz w:val="26"/>
          <w:u w:val="single"/>
        </w:rPr>
        <w:t>5004809-42.2024.4.02.5002</w:t>
      </w:r>
    </w:p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2009.51.51.066212-3/ RJ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10/06/2011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05/10/2011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a forma de cálculo da aposentadoria por invalidez, do auxílio-doença e pensões derivadas, em momento antecedente à edição da Lei n. 9.876/99."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valor da aposentadoria por invalidez e do auxílio-doença, bem como das pensões destes derivados ou calculadas com base no art. 75, da Lei n. 8.213/91, será obtido, na forma do art. 29, II, do mesmo diploma, por meio da média aritmética simples dos 80% maiores salários de contribuição, considerado todo o período contributivo, independentemente do momento de inscrição do segurado e do número de contribuições mensais do período contributivo." (Tema 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Aposentadoria por Tempo de Contribuição (Art. 55/6),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