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="288" w:lineRule="auto"/>
        <w:ind w:right="20" w:firstLine="20"/>
        <w:jc w:val="both"/>
      </w:pPr>
      <w:r>
        <w:rPr>
          <w:rFonts w:ascii="Times New Roman" w:hAnsi="Times New Roman"/>
          <w:color w:val="052229"/>
          <w:sz w:val="26"/>
        </w:rPr>
        <w:t xml:space="preserve">Processo n.: </w:t>
      </w:r>
      <w:r>
        <w:rPr>
          <w:rFonts w:ascii="Times New Roman" w:hAnsi="Times New Roman"/>
          <w:color w:val="052229"/>
          <w:sz w:val="26"/>
          <w:u w:val="single"/>
        </w:rPr>
        <w:t>5022737-72.2025.4.02.5001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0022551-92.2008.4.01.3600/ MT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14/03/2011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aplicar tabela progressiva prevista no art. 142 da Lei n. 8.213/91, aos casos de aposentadoria por idade urbana."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"Aplica-se a tabela progressiva prevista no art. 142 da Lei n. 8.213/91, no caso de aposentadoria por idade urbana, considerando-se como marco temporal para apuração da carência o ano em que o segurado completa a idade mínima, ainda que contadas contribuições posteriores ao ano do cumprimento do requisito etário. Vide Súmula 44 da TNU." (Tema 27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Idade - Urbana (art. 48/51), Aposentadoria por Idade (Art. 48/51),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