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F">
      <w:pPr>
        <w:pStyle w:val="Heading2"/>
        <w:spacing w:after="160" w:before="0" w:lineRule="auto"/>
        <w:jc w:val="both"/>
        <w:rPr>
          <w:rFonts w:ascii="Book Antiqua" w:cs="Book Antiqua" w:eastAsia="Book Antiqua" w:hAnsi="Book Antiqua"/>
          <w:b w:val="1"/>
          <w:bCs w:val="1"/>
          <w:sz w:val="26"/>
          <w:szCs w:val="26"/>
          <w:shd w:fill="cccccc" w:val="clear"/>
        </w:rPr>
      </w:pPr>
      <w:bookmarkStart w:colFirst="0" w:colLast="0" w:name="_d3nn85xa6y4l" w:id="1"/>
      <w:bookmarkEnd w:id="1"/>
      <w:r w:rsidDel="00000000" w:rsidR="00000000" w:rsidRPr="00000000">
        <w:rPr>
          <w:rFonts w:ascii="Book Antiqua" w:cs="Book Antiqua" w:eastAsia="Book Antiqua" w:hAnsi="Book Antiqua"/>
          <w:b w:val="1"/>
          <w:bCs w:val="1"/>
          <w:sz w:val="26"/>
          <w:szCs w:val="26"/>
          <w:shd w:fill="cccccc" w:val="clear"/>
          <w:rtl w:val="0"/>
        </w:rPr>
        <w:t>PU-TEMA TNU-SOBRESTAMENTO</w:t>
      </w:r>
    </w:p>
    <w:p w:rsidR="00000000" w:rsidDel="00000000" w:rsidP="00000000" w:rsidRDefault="00000000" w:rsidRPr="00000000" w14:paraId="00000010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>Tema da TNU ainda não julgado.</w:t>
      </w:r>
    </w:p>
    <w:p w:rsidR="00000000" w:rsidDel="00000000" w:rsidP="00000000" w:rsidRDefault="00000000" w:rsidRPr="00000000" w14:paraId="00000011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Verifica-se que a questão objeto da controvérsia jurídica suscitada pelo recurso manejado pela parte recorrente encontra-se afetada ao Tema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 xml:space="preserve">369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da jurisprudência da TNU – 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PEDILEF 0001882-94.2021.4.05.8500/SE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>, pendente de julgamento (afetado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 xml:space="preserve"> 2024-10-16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) –, por meio do qual se elucidará a seguinte questão: </w:t>
      </w:r>
    </w:p>
    <w:p w:rsidR="00000000" w:rsidDel="00000000" w:rsidP="00000000" w:rsidRDefault="00000000" w:rsidRPr="00000000" w14:paraId="00000012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"Exclusao de faixa de salario-minimo no calculo de renda per capita para BPC."</w:t>
      </w:r>
    </w:p>
    <w:p w:rsidR="00000000" w:rsidDel="00000000" w:rsidP="00000000" w:rsidRDefault="00000000" w:rsidRPr="00000000" w14:paraId="00000013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Nesse contexto, determino 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4"/>
          <w:szCs w:val="24"/>
          <w:rtl w:val="0"/>
        </w:rPr>
        <w:t>SOBRESTAMENTO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do PU interposto nestes autos – o qual versa sobre a mesma matéria –, na forma do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4"/>
          <w:szCs w:val="24"/>
          <w:u w:val="single"/>
          <w:rtl w:val="0"/>
        </w:rPr>
        <w:t xml:space="preserve"> art. 14, II, b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>, da Resolução CJF n. 586/2019 c/c 1.030, III, do CPC, até o julgamento final do representativo da controvérsia, o PU no processo n.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 xml:space="preserve"> PEDILEF 0001882-94.2021.4.05.8500/SE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4"/>
          <w:szCs w:val="24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4"/>
          <w:szCs w:val="24"/>
          <w:highlight w:val="yellow"/>
          <w:rtl w:val="0"/>
        </w:rPr>
        <w:t xml:space="preserve">369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4"/>
          <w:szCs w:val="24"/>
          <w:rtl w:val="0"/>
        </w:rPr>
        <w:t>TNU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). </w:t>
      </w:r>
    </w:p>
    <w:p w:rsidR="00000000" w:rsidDel="00000000" w:rsidP="00000000" w:rsidRDefault="00000000" w:rsidRPr="00000000" w14:paraId="0000001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>Intimem-se. Cumpra-se.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