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F">
      <w:pPr>
        <w:pStyle w:val="Heading2"/>
        <w:spacing w:after="160" w:before="0" w:lineRule="auto"/>
        <w:jc w:val="both"/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</w:rPr>
      </w:pPr>
      <w:bookmarkStart w:colFirst="0" w:colLast="0" w:name="_d3nn85xa6y4l" w:id="1"/>
      <w:bookmarkEnd w:id="1"/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>PU-TEMA TNU-SOBRESTAMENTO</w:t>
      </w:r>
    </w:p>
    <w:p w:rsidR="00000000" w:rsidDel="00000000" w:rsidP="00000000" w:rsidRDefault="00000000" w:rsidRPr="00000000" w14:paraId="00000011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Verifica-se que a questão objeto da controvérsia jurídica suscitada pelo recurso manejado pela parte recorrente encontra-se afetada ao Tema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369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da jurisprudência da TNU – 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PEDILEF 0001882-94.2021.4.05.8500/SE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, pendente de julgamento (afetado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 2024-10-16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) –, por meio do qual se elucidará a seguinte questão: </w:t>
      </w:r>
    </w:p>
    <w:p w:rsidR="00000000" w:rsidDel="00000000" w:rsidP="00000000" w:rsidRDefault="00000000" w:rsidRPr="00000000" w14:paraId="00000012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"Exclusao de faixa de salario-minimo no calculo de renda per capita para BPC."</w:t>
      </w:r>
    </w:p>
    <w:p w:rsidR="00000000" w:rsidDel="00000000" w:rsidP="00000000" w:rsidRDefault="00000000" w:rsidRPr="00000000" w14:paraId="00000013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Nesse contexto, determino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>SOBRESTAMENTO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do PU interposto nestes autos – o qual versa sobre a mesma matéria –, na forma 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u w:val="single"/>
          <w:rtl w:val="0"/>
        </w:rPr>
        <w:t xml:space="preserve"> art. 14, II, 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, da Resolução CJF n. 586/2019 c/c 1.030, III, do CPC, até o julgamento final do representativo da controvérsia, o PU no processo n.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 PEDILEF 0001882-94.2021.4.05.8500/SE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highlight w:val="yellow"/>
          <w:rtl w:val="0"/>
        </w:rPr>
        <w:t xml:space="preserve">369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>TNU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1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Intimem-se. Cumpra-se.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