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60" w:before="0" w:lineRule="auto"/>
        <w:jc w:val="both"/>
        <w:rPr>
          <w:rFonts w:ascii="Book Antiqua" w:cs="Book Antiqua" w:eastAsia="Book Antiqua" w:hAnsi="Book Antiqua"/>
          <w:b w:val="1"/>
          <w:bCs w:val="1"/>
          <w:sz w:val="26"/>
          <w:szCs w:val="26"/>
          <w:shd w:fill="cccccc" w:val="clear"/>
        </w:rPr>
      </w:pPr>
      <w:bookmarkStart w:colFirst="0" w:colLast="0" w:name="_85bkwds48w7h" w:id="0"/>
      <w:bookmarkEnd w:id="0"/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6"/>
          <w:szCs w:val="26"/>
          <w:shd w:fill="cccccc" w:val="clear"/>
          <w:rtl w:val="0"/>
        </w:rPr>
        <w:t xml:space="preserve">PU-AC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6"/>
          <w:szCs w:val="26"/>
          <w:shd w:fill="cccccc" w:val="clear"/>
          <w:rtl w:val="0"/>
        </w:rPr>
        <w:t xml:space="preserve">DISSONANCIA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6"/>
          <w:szCs w:val="26"/>
          <w:shd w:fill="cccccc" w:val="clear"/>
          <w:rtl w:val="0"/>
        </w:rPr>
        <w:t xml:space="preserve"> COM TEMA TNU-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6"/>
          <w:szCs w:val="26"/>
          <w:shd w:fill="cccccc" w:val="clear"/>
          <w:rtl w:val="0"/>
        </w:rPr>
        <w:t xml:space="preserve">ADEQUAÇAO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6"/>
          <w:szCs w:val="26"/>
        </w:rPr>
      </w:pPr>
      <w:r>
        <w:t>{{template_case_note}}</w:t>
      </w:r>
    </w:p>
    <w:p w:rsidR="00000000" w:rsidDel="00000000" w:rsidP="00000000" w:rsidRDefault="00000000" w:rsidRPr="00000000" w14:paraId="0000000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{{theme_number}}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{{theme_process_number}}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{{theme_affectation_date}}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{{theme_transit_date}}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), por meio do qual foi elucidada a seguinte questão:</w:t>
      </w:r>
    </w:p>
    <w:p w:rsidR="00000000" w:rsidDel="00000000" w:rsidP="00000000" w:rsidRDefault="00000000" w:rsidRPr="00000000" w14:paraId="00000004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{{theme_question_quote}}</w:t>
      </w:r>
    </w:p>
    <w:p w:rsidR="00000000" w:rsidDel="00000000" w:rsidP="00000000" w:rsidRDefault="00000000" w:rsidRPr="00000000" w14:paraId="00000005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Restou firmada a seguinte tese: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{{theme_thesis_quote}}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07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{{theme_alignment_phrase}}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08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{{decision_excerpt_quote}}</w:t>
      </w:r>
    </w:p>
    <w:p w:rsidR="00000000" w:rsidDel="00000000" w:rsidP="00000000" w:rsidRDefault="00000000" w:rsidRPr="00000000" w14:paraId="00000009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Posto isso, tendo em vista que o Acórdão recorrido está em dissonância com o entendimento dominante do Órgão de Uniformização, com arrimo no art. 14, IV,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4"/>
          <w:szCs w:val="24"/>
          <w:rtl w:val="0"/>
        </w:rPr>
        <w:t xml:space="preserve"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da Resolução CJF n. 586/2019, determino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4"/>
          <w:szCs w:val="24"/>
          <w:rtl w:val="0"/>
        </w:rPr>
        <w:t xml:space="preserve">REMESSA dos autos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4"/>
          <w:szCs w:val="24"/>
          <w:rtl w:val="0"/>
        </w:rPr>
        <w:t xml:space="preserve">à Turma de origem,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a fim de que o Colegiado proceda, se for o caso, à retratação do julgado, adequando-o aos termos acolhidos pela Instância Superior.</w:t>
      </w:r>
    </w:p>
    <w:p w:rsidR="00000000" w:rsidDel="00000000" w:rsidP="00000000" w:rsidRDefault="00000000" w:rsidRPr="00000000" w14:paraId="0000000A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Após o julgamento pela Turma de Origem,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observe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-se o disposto nos §§7º e 8º do art. 14 da Resolução CJF n. 586/2019:</w:t>
      </w:r>
    </w:p>
    <w:p w:rsidR="00000000" w:rsidDel="00000000" w:rsidP="00000000" w:rsidRDefault="00000000" w:rsidRPr="00000000" w14:paraId="0000000B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§ 7º Nos casos do inciso IV, a nova decisão proferida pela Turma de origem substitui a anterior, ficando integralmente prejudicados os pedidos de uniformização de interpretação de lei federal anteriormente interpostos.</w:t>
      </w:r>
    </w:p>
    <w:p w:rsidR="00000000" w:rsidDel="00000000" w:rsidP="00000000" w:rsidRDefault="00000000" w:rsidRPr="00000000" w14:paraId="0000000C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§ 8º Interposto novo pedido de uniformização de interpretação de lei federal em face da decisão prevista no §7º, não cabe nova remessa à Turma de origem nos termos do inciso IV, devendo se prosseguir no exame de admissibilidade.</w:t>
      </w:r>
    </w:p>
    <w:p w:rsidR="00000000" w:rsidDel="00000000" w:rsidP="00000000" w:rsidRDefault="00000000" w:rsidRPr="00000000" w14:paraId="0000000D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Intimem-se. Cumpra-se.</w:t>
      </w:r>
    </w:p>
    <w:p w:rsidR="00000000" w:rsidDel="00000000" w:rsidP="00000000" w:rsidRDefault="00000000" w:rsidRPr="00000000" w14:paraId="0000000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160" w:before="0" w:lineRule="auto"/>
        <w:jc w:val="both"/>
        <w:rPr>
          <w:rFonts w:ascii="Book Antiqua" w:cs="Book Antiqua" w:eastAsia="Book Antiqua" w:hAnsi="Book Antiqua"/>
          <w:b w:val="1"/>
          <w:bCs w:val="1"/>
          <w:sz w:val="26"/>
          <w:szCs w:val="26"/>
          <w:shd w:fill="cccccc" w:val="clear"/>
        </w:rPr>
      </w:pPr>
      <w:bookmarkStart w:colFirst="0" w:colLast="0" w:name="_d3nn85xa6y4l" w:id="1"/>
      <w:bookmarkEnd w:id="1"/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6"/>
          <w:szCs w:val="26"/>
          <w:shd w:fill="cccccc" w:val="clear"/>
          <w:rtl w:val="0"/>
        </w:rPr>
        <w:t xml:space="preserve">PU-TEMA TNU-SOBRESTAMENTO</w:t>
      </w:r>
    </w:p>
    <w:p w:rsidR="00000000" w:rsidDel="00000000" w:rsidP="00000000" w:rsidRDefault="00000000" w:rsidRPr="00000000" w14:paraId="00000010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Tema da TNU ainda não julgado.</w:t>
      </w:r>
    </w:p>
    <w:p w:rsidR="00000000" w:rsidDel="00000000" w:rsidP="00000000" w:rsidRDefault="00000000" w:rsidRPr="00000000" w14:paraId="00000011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Verifica-se que a questão objeto da controvérsia jurídica suscitada pelo recurso manejado pela parte recorrente encontra-se afetada ao Tema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{{theme_number}}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da jurisprudência da TNU – 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{{theme_process_number}}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, pendente de julgamento (afetado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{{theme_affectation_date}}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) –, por meio do qual se elucidará a seguinte questão: </w:t>
      </w:r>
    </w:p>
    <w:p w:rsidR="00000000" w:rsidDel="00000000" w:rsidP="00000000" w:rsidRDefault="00000000" w:rsidRPr="00000000" w14:paraId="00000012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{{theme_question_quote}}</w:t>
      </w:r>
    </w:p>
    <w:p w:rsidR="00000000" w:rsidDel="00000000" w:rsidP="00000000" w:rsidRDefault="00000000" w:rsidRPr="00000000" w14:paraId="00000013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Nesse contexto, determino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4"/>
          <w:szCs w:val="24"/>
          <w:rtl w:val="0"/>
        </w:rPr>
        <w:t xml:space="preserve">SOBRESTAMENTO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do PU interposto nestes autos – o qual versa sobre a mesma matéria –, na forma do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4"/>
          <w:szCs w:val="24"/>
          <w:u w:val="single"/>
          <w:rtl w:val="0"/>
        </w:rPr>
        <w:t xml:space="preserve"> art. 14, II, b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, da Resolução CJF n. 586/2019 c/c 1.030, III, do CPC, até o julgamento final do representativo da controvérsia, o PU no processo n.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{{theme_process_number}}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4"/>
          <w:szCs w:val="24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4"/>
          <w:szCs w:val="24"/>
          <w:highlight w:val="yellow"/>
          <w:rtl w:val="0"/>
        </w:rPr>
        <w:t>{{theme_number}}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4"/>
          <w:szCs w:val="24"/>
          <w:rtl w:val="0"/>
        </w:rPr>
        <w:t xml:space="preserve">TNU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1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Intimem-se. Cumpra-se.</w:t>
      </w:r>
    </w:p>
    <w:p w:rsidR="00000000" w:rsidDel="00000000" w:rsidP="00000000" w:rsidRDefault="00000000" w:rsidRPr="00000000" w14:paraId="00000015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Tema da TNU que já julgou mas não transitou ainda. </w:t>
      </w:r>
    </w:p>
    <w:p w:rsidR="00000000" w:rsidDel="00000000" w:rsidP="00000000" w:rsidRDefault="00000000" w:rsidRPr="00000000" w14:paraId="00000016">
      <w:pPr>
        <w:shd w:fill="ffffff" w:val="clear"/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Verifica-se que a questão objeto da controvérsia jurídica suscitada pelo recurso manejado pela parte recorrente encontra-se afetada ao Tema de n. 306 da jurisprudência da TNU – PU no processo n.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>{{theme_process_number}}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afetado em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>{{theme_affectation_date}}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voltado a elucidar a seguinte questão: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>{{theme_question_quote}}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ocasião do julgamento, fixou-se a seguinte tese: </w:t>
      </w:r>
    </w:p>
    <w:p w:rsidR="00000000" w:rsidDel="00000000" w:rsidP="00000000" w:rsidRDefault="00000000" w:rsidRPr="00000000" w14:paraId="00000018">
      <w:pPr>
        <w:shd w:fill="ffffff" w:val="clear"/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yellow"/>
          <w:rtl w:val="0"/>
        </w:rPr>
        <w:t>{{theme_thesis_quote}}</w:t>
      </w:r>
    </w:p>
    <w:p w:rsidR="00000000" w:rsidDel="00000000" w:rsidP="00000000" w:rsidRDefault="00000000" w:rsidRPr="00000000" w14:paraId="00000019">
      <w:pPr>
        <w:shd w:fill="ffffff" w:val="clear"/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Contudo, verifica-se que, apesar de ter havido o julgamento do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{{theme_judgment_reference}}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, o respectivo Acórdão ainda não transitou em julgado.</w:t>
      </w:r>
    </w:p>
    <w:p w:rsidR="00000000" w:rsidDel="00000000" w:rsidP="00000000" w:rsidRDefault="00000000" w:rsidRPr="00000000" w14:paraId="0000001A">
      <w:pPr>
        <w:shd w:fill="ffffff" w:val="clear"/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Nesses termos, tendo em vista a irreversibilidade da medida nesta fase recursal, reputo mais adequado, em homenagem ao primado da segurança jurídica, aguardar o trânsito em julgado do referido Acórdão antes de autorizar a continuidade do processamento do recurso interposto nestes autos, que versa sobre a mesma controvérsia.</w:t>
      </w:r>
    </w:p>
    <w:p w:rsidR="00000000" w:rsidDel="00000000" w:rsidP="00000000" w:rsidRDefault="00000000" w:rsidRPr="00000000" w14:paraId="0000001B">
      <w:pPr>
        <w:shd w:fill="ffffff" w:val="clear"/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Nos termos do art. 16, §6º, VI, a e b,  do RITNU, as teses firmadas em representativo da controvérsia somente devem ser aplicadas após o trânsito em julgado do processo afetado. Confira-se: </w:t>
      </w:r>
    </w:p>
    <w:p w:rsidR="00000000" w:rsidDel="00000000" w:rsidP="00000000" w:rsidRDefault="00000000" w:rsidRPr="00000000" w14:paraId="0000001C">
      <w:pPr>
        <w:shd w:fill="ffffff" w:val="clear"/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Art. 16. Quando houver multiplicidade de recursos com fundamento em idêntica questão de direito, a Turma Nacional de Uniformização poderá afetar dois ou mais pedidos de uniformização de interpretação de lei federal como recurso representativo de controvérsia. [...]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§ 6º O pedido de uniformização de interpretação de lei federal admitido como representativo da controvérsia será processado e julgado com observância deste procedimento: [...] VI - transitado em julgado o acórdão da Turma Nacional de Uniformizaçã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o, os pedidos de uniformização de interpretação de lei federal sobrestados: a) terão seguimento denegado na hipótese de o acórdão recorrido coincidir com a orientação da Turma Nacional de Uniformização; ou b) serão encaminhados à Turma de origem para juízo de retratação, quando o acórdão recorrido divergir do decidido pela Turma Nacional, ficando integralmente prejudicados os pedidos de uniformização de interpretação de lei federal anteriormente interpostos.(Grifos acrescentados)</w:t>
      </w:r>
    </w:p>
    <w:p w:rsidR="00000000" w:rsidDel="00000000" w:rsidP="00000000" w:rsidRDefault="00000000" w:rsidRPr="00000000" w14:paraId="0000001D">
      <w:pPr>
        <w:shd w:fill="ffffff" w:val="clear"/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Nesse contexto, determino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SOBRESTAMENTO do PU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interposto nestes autos – o qual versa sobre a mesma matéria –, na forma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art. 14, II, 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c/c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art. 16, § 6º, VI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ambos da Resolução CJF n. 586/2019, até o julgamento final do representativo da controvérsia, o PU no processo n.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>{{theme_process_number}}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>{{theme_reference_label}}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E">
      <w:pPr>
        <w:shd w:fill="ffffff" w:val="clear"/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Intimem-se. Cumpra-se.</w:t>
      </w:r>
    </w:p>
    <w:p w:rsidR="00000000" w:rsidDel="00000000" w:rsidP="00000000" w:rsidRDefault="00000000" w:rsidRPr="00000000" w14:paraId="0000001F">
      <w:pPr>
        <w:shd w:fill="ffffff" w:val="clear"/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160" w:before="0" w:lineRule="auto"/>
        <w:jc w:val="both"/>
        <w:rPr>
          <w:rFonts w:ascii="Book Antiqua" w:cs="Book Antiqua" w:eastAsia="Book Antiqua" w:hAnsi="Book Antiqua"/>
          <w:b w:val="1"/>
          <w:bCs w:val="1"/>
          <w:sz w:val="26"/>
          <w:szCs w:val="26"/>
          <w:shd w:fill="cccccc" w:val="clear"/>
        </w:rPr>
      </w:pPr>
      <w:bookmarkStart w:colFirst="0" w:colLast="0" w:name="_h9a7cl3l1cb5" w:id="2"/>
      <w:bookmarkEnd w:id="2"/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6"/>
          <w:szCs w:val="26"/>
          <w:shd w:fill="cccccc" w:val="clear"/>
          <w:rtl w:val="0"/>
        </w:rPr>
        <w:t xml:space="preserve">PU-TEMA TNU-NEGO SEGUIMENTO</w:t>
      </w:r>
    </w:p>
    <w:p w:rsidR="00000000" w:rsidDel="00000000" w:rsidP="00000000" w:rsidRDefault="00000000" w:rsidRPr="00000000" w14:paraId="00000021">
      <w:pPr>
        <w:spacing w:after="160" w:line="288" w:lineRule="auto"/>
        <w:jc w:val="both"/>
        <w:rPr>
          <w:rFonts w:ascii="Book Antiqua" w:cs="Book Antiqua" w:eastAsia="Book Antiqua" w:hAnsi="Book Antiqua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ff0000"/>
          <w:sz w:val="24"/>
          <w:szCs w:val="24"/>
          <w:rtl w:val="0"/>
        </w:rPr>
        <w:t xml:space="preserve">Quando os autos estavam sobrestados:</w:t>
      </w:r>
    </w:p>
    <w:p w:rsidR="00000000" w:rsidDel="00000000" w:rsidP="00000000" w:rsidRDefault="00000000" w:rsidRPr="00000000" w14:paraId="0000002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Os autos estavam sobrestados aguardando o julgamento do Tema de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{{theme_number}}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da jurisprudência da e. TNU – PEDILEF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{{theme_process_number}}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,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{{theme_judgment_date}}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{{theme_transit_date}}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) –, por meio do qual foi elucidada a seguinte questão:</w:t>
      </w:r>
    </w:p>
    <w:p w:rsidR="00000000" w:rsidDel="00000000" w:rsidP="00000000" w:rsidRDefault="00000000" w:rsidRPr="00000000" w14:paraId="00000023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{{theme_question_quote}}</w:t>
      </w:r>
    </w:p>
    <w:p w:rsidR="00000000" w:rsidDel="00000000" w:rsidP="00000000" w:rsidRDefault="00000000" w:rsidRPr="00000000" w14:paraId="00000024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No julgamento do tema na sistemática dos Representativos da Controvérsia (Tema nº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{{theme_number}}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), a TNU fixou a seguinte tese: </w:t>
      </w:r>
    </w:p>
    <w:p w:rsidR="00000000" w:rsidDel="00000000" w:rsidP="00000000" w:rsidRDefault="00000000" w:rsidRPr="00000000" w14:paraId="0000002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{{theme_thesis_quote}}</w:t>
      </w:r>
    </w:p>
    <w:p w:rsidR="00000000" w:rsidDel="00000000" w:rsidP="00000000" w:rsidRDefault="00000000" w:rsidRPr="00000000" w14:paraId="00000026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>
        <w:t>O acordao recorrido assentou:</w:t>
      </w:r>
    </w:p>
    <w:p w:rsidR="00000000" w:rsidDel="00000000" w:rsidP="00000000" w:rsidRDefault="00000000" w:rsidRPr="00000000" w14:paraId="00000027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{{decision_excerpt_quote}}</w:t>
      </w:r>
    </w:p>
    <w:p w:rsidR="00000000" w:rsidDel="00000000" w:rsidP="00000000" w:rsidRDefault="00000000" w:rsidRPr="00000000" w14:paraId="00000028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, da Resolução CJF n. 586/2019:</w:t>
      </w:r>
    </w:p>
    <w:p w:rsidR="00000000" w:rsidDel="00000000" w:rsidP="00000000" w:rsidRDefault="00000000" w:rsidRPr="00000000" w14:paraId="00000029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Art. 14. Decorrido o prazo para contrarrazões, os autos serão conclusos ao magistrado responsável pelo exame preliminar de admissibilidade, que deverá, de forma sucessiva: (...) III - negar seguimento a pedido de uniformização de interpretação de lei federal interposto contra acórdão que esteja em conformidade com entendimento consolidado: (...) b)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u w:val="single"/>
          <w:rtl w:val="0"/>
        </w:rPr>
        <w:t xml:space="preserve"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</w:t>
      </w:r>
    </w:p>
    <w:p w:rsidR="00000000" w:rsidDel="00000000" w:rsidP="00000000" w:rsidRDefault="00000000" w:rsidRPr="00000000" w14:paraId="0000002A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,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ao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PU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interposto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Intimem-se. Aguarde-se o decurso do prazo recursal. Após, certifique-se o trânsito em julgado e devolva-se ao juízo de origem.</w:t>
      </w:r>
    </w:p>
    <w:p w:rsidR="00000000" w:rsidDel="00000000" w:rsidP="00000000" w:rsidRDefault="00000000" w:rsidRPr="00000000" w14:paraId="0000002C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6"/>
          <w:szCs w:val="26"/>
          <w:rtl w:val="0"/>
        </w:rPr>
        <w:t xml:space="preserve">Quando o tema já transitou </w:t>
      </w:r>
    </w:p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{{theme_number}}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{{theme_process_number}}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{{theme_affectation_date}}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{{theme_transit_date}}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{{theme_question_quote}}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{{theme_thesis_quote}}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{{theme_alignment_phrase}}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{{decision_excerpt_quote}}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 xml:space="preserve"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 xml:space="preserve"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Intimem-se. Aguarde-se o decurso do prazo recursal. Após, certifique-se o trânsito em julgado e devolva-se ao juízo de origem.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https://drive.google.com/drive/folders/1METimKnzKK0ULSqE7UedO_5nH3JVJHt0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https://docs.google.com/spreadsheets/d/1Mjmsh7iDH9Pdv7vV2IYMBhhOHuKVtkGlYzEh7ipgZ4g/edit?gid=923871152#gid=923871152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160" w:before="0" w:lineRule="auto"/>
        <w:jc w:val="both"/>
        <w:rPr>
          <w:rFonts w:ascii="Book Antiqua" w:cs="Book Antiqua" w:eastAsia="Book Antiqua" w:hAnsi="Book Antiqua"/>
          <w:b w:val="1"/>
          <w:bCs w:val="1"/>
          <w:sz w:val="26"/>
          <w:szCs w:val="26"/>
          <w:shd w:fill="cccccc" w:val="clear"/>
        </w:rPr>
      </w:pPr>
      <w:bookmarkStart w:colFirst="0" w:colLast="0" w:name="_inel45bxn08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