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Sample</w:t>
      </w:r>
      <w:r>
        <w:t xml:space="preserve"> </w:t>
      </w:r>
      <w:r>
        <w:t xml:space="preserve">Scientific</w:t>
      </w:r>
      <w:r>
        <w:t xml:space="preserve"> </w:t>
      </w:r>
      <w:r>
        <w:t xml:space="preserve">Report</w:t>
      </w:r>
    </w:p>
    <w:p>
      <w:pPr>
        <w:pStyle w:val="Heading3"/>
      </w:pPr>
      <w:bookmarkStart w:id="20" w:name="contents"/>
      <w:r>
        <w:t xml:space="preserve">Contents</w:t>
      </w:r>
      <w:bookmarkEnd w:id="20"/>
    </w:p>
    <w:p>
      <w:pPr>
        <w:numPr>
          <w:ilvl w:val="0"/>
          <w:numId w:val="1001"/>
        </w:numPr>
        <w:pStyle w:val="Compact"/>
      </w:pPr>
      <w:hyperlink w:anchor="section-0-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section-1-methodology">
        <w:r>
          <w:rPr>
            <w:rStyle w:val="Hyperlink"/>
          </w:rPr>
          <w:t xml:space="preserve">Methodology</w:t>
        </w:r>
      </w:hyperlink>
    </w:p>
    <w:p>
      <w:pPr>
        <w:numPr>
          <w:ilvl w:val="0"/>
          <w:numId w:val="1001"/>
        </w:numPr>
        <w:pStyle w:val="Compact"/>
      </w:pPr>
      <w:hyperlink w:anchor="section-2-results">
        <w:r>
          <w:rPr>
            <w:rStyle w:val="Hyperlink"/>
          </w:rPr>
          <w:t xml:space="preserve">Results</w:t>
        </w:r>
      </w:hyperlink>
    </w:p>
    <w:p>
      <w:pPr>
        <w:numPr>
          <w:ilvl w:val="0"/>
          <w:numId w:val="1001"/>
        </w:numPr>
        <w:pStyle w:val="Compact"/>
      </w:pPr>
      <w:hyperlink w:anchor="section-3-discussion">
        <w:r>
          <w:rPr>
            <w:rStyle w:val="Hyperlink"/>
          </w:rPr>
          <w:t xml:space="preserve">Discussion</w:t>
        </w:r>
      </w:hyperlink>
    </w:p>
    <w:p>
      <w:pPr>
        <w:pStyle w:val="Heading1"/>
      </w:pPr>
      <w:bookmarkStart w:id="21" w:name="sample-scientific-report"/>
      <w:r>
        <w:t xml:space="preserve">Sample Scientific Report</w:t>
      </w:r>
      <w:bookmarkEnd w:id="21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Antigravity AI</w:t>
      </w:r>
    </w:p>
    <w:p>
      <w:pPr>
        <w:pStyle w:val="BodyText"/>
      </w:pPr>
      <w:r>
        <w:rPr>
          <w:b/>
        </w:rPr>
        <w:t xml:space="preserve">Date:</w:t>
      </w:r>
      <w:r>
        <w:t xml:space="preserve"> </w:t>
      </w:r>
      <w:r>
        <w:t xml:space="preserve">2026-05-11</w:t>
      </w:r>
    </w:p>
    <w:p>
      <w:pPr>
        <w:pStyle w:val="Heading2"/>
      </w:pPr>
      <w:bookmarkStart w:id="22" w:name="section-0-introduction"/>
      <w:r>
        <w:t xml:space="preserve">Introduction</w:t>
      </w:r>
      <w:bookmarkEnd w:id="22"/>
    </w:p>
    <w:p>
      <w:pPr>
        <w:pStyle w:val="FirstParagraph"/>
      </w:pPr>
      <w:r>
        <w:t xml:space="preserve">This is a sample markdown document designed to test the chunking capabilities of the</w:t>
      </w:r>
      <w:r>
        <w:t xml:space="preserve"> </w:t>
      </w:r>
      <w:r>
        <w:rPr>
          <w:rStyle w:val="VerbatimChar"/>
        </w:rPr>
        <w:t xml:space="preserve">md-html-docx-generator</w:t>
      </w:r>
      <w:r>
        <w:t xml:space="preserve"> </w:t>
      </w:r>
      <w:r>
        <w:t xml:space="preserve">skill. It contains standard elements like paragraphs, lists, and code.</w:t>
      </w:r>
    </w:p>
    <w:p>
      <w:pPr>
        <w:pStyle w:val="BodyText"/>
      </w:pPr>
      <w:r>
        <w:t xml:space="preserve">We expect this section to be chunked into its own HTML block.</w:t>
      </w:r>
    </w:p>
    <w:p>
      <w:pPr>
        <w:pStyle w:val="Heading2"/>
      </w:pPr>
      <w:bookmarkStart w:id="23" w:name="section-1-methodology"/>
      <w:r>
        <w:t xml:space="preserve">Methodology</w:t>
      </w:r>
      <w:bookmarkEnd w:id="23"/>
    </w:p>
    <w:p>
      <w:pPr>
        <w:pStyle w:val="Heading3"/>
      </w:pPr>
      <w:bookmarkStart w:id="24" w:name="data-collection"/>
      <w:r>
        <w:t xml:space="preserve">Data Collection</w:t>
      </w:r>
      <w:bookmarkEnd w:id="24"/>
    </w:p>
    <w:p>
      <w:pPr>
        <w:pStyle w:val="FirstParagraph"/>
      </w:pPr>
      <w:r>
        <w:t xml:space="preserve">Data was collected using a standard randomized block design.</w:t>
      </w:r>
    </w:p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This is an important note regarding the data collection that should be styled as an alert block.</w:t>
      </w:r>
    </w:p>
    <w:p>
      <w:pPr>
        <w:pStyle w:val="Heading3"/>
      </w:pPr>
      <w:bookmarkStart w:id="25" w:name="code-implementation"/>
      <w:r>
        <w:t xml:space="preserve">Code Implementation</w:t>
      </w:r>
      <w:bookmarkEnd w:id="25"/>
    </w:p>
    <w:p>
      <w:pPr>
        <w:pStyle w:val="FirstParagraph"/>
      </w:pPr>
      <w:r>
        <w:t xml:space="preserve">Here is a snippet of the data processing script:</w:t>
      </w:r>
    </w:p>
    <w:p>
      <w:pPr>
        <w:pStyle w:val="SourceCode"/>
      </w:pPr>
      <w:r>
        <w:rPr>
          <w:rStyle w:val="VerbatimChar"/>
        </w:rPr>
        <w:t xml:space="preserve">import pandas as pd</w:t>
      </w:r>
      <w:r>
        <w:br/>
      </w:r>
      <w:r>
        <w:br/>
      </w:r>
      <w:r>
        <w:rPr>
          <w:rStyle w:val="VerbatimChar"/>
        </w:rPr>
        <w:t xml:space="preserve">def process_data(df):</w:t>
      </w:r>
      <w:r>
        <w:br/>
      </w:r>
      <w:r>
        <w:rPr>
          <w:rStyle w:val="VerbatimChar"/>
        </w:rPr>
        <w:t xml:space="preserve">    return df.dropna().reset_index(drop=True)</w:t>
      </w:r>
    </w:p>
    <w:p>
      <w:pPr>
        <w:pStyle w:val="Heading2"/>
      </w:pPr>
      <w:bookmarkStart w:id="26" w:name="section-2-results"/>
      <w:r>
        <w:t xml:space="preserve">Results</w:t>
      </w:r>
      <w:bookmarkEnd w:id="26"/>
    </w:p>
    <w:p>
      <w:pPr>
        <w:pStyle w:val="FirstParagraph"/>
      </w:pPr>
      <w:r>
        <w:t xml:space="preserve">The following table summarizes the primary outcomes: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Score A</w:t>
            </w:r>
          </w:p>
        </w:tc>
        <w:tc>
          <w:p>
            <w:pPr>
              <w:pStyle w:val="Compact"/>
              <w:jc w:val="left"/>
            </w:pPr>
            <w:r>
              <w:t xml:space="preserve">45.2</w:t>
            </w:r>
          </w:p>
        </w:tc>
        <w:tc>
          <w:p>
            <w:pPr>
              <w:pStyle w:val="Compact"/>
              <w:jc w:val="left"/>
            </w:pPr>
            <w:r>
              <w:t xml:space="preserve">58.7</w:t>
            </w:r>
          </w:p>
        </w:tc>
        <w:tc>
          <w:p>
            <w:pPr>
              <w:pStyle w:val="Compact"/>
              <w:jc w:val="left"/>
            </w:pPr>
            <w:r>
              <w:t xml:space="preserve">&lt;0.01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Score B</w:t>
            </w:r>
          </w:p>
        </w:tc>
        <w:tc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p>
            <w:pPr>
              <w:pStyle w:val="Compact"/>
              <w:jc w:val="left"/>
            </w:pPr>
            <w:r>
              <w:t xml:space="preserve">14.5</w:t>
            </w:r>
          </w:p>
        </w:tc>
        <w:tc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Score C</w:t>
            </w:r>
          </w:p>
        </w:tc>
        <w:tc>
          <w:p>
            <w:pPr>
              <w:pStyle w:val="Compact"/>
              <w:jc w:val="left"/>
            </w:pPr>
            <w:r>
              <w:t xml:space="preserve">99.0</w:t>
            </w:r>
          </w:p>
        </w:tc>
        <w:tc>
          <w:p>
            <w:pPr>
              <w:pStyle w:val="Compact"/>
              <w:jc w:val="left"/>
            </w:pPr>
            <w:r>
              <w:t xml:space="preserve">99.1</w:t>
            </w:r>
          </w:p>
        </w:tc>
        <w:tc>
          <w:p>
            <w:pPr>
              <w:pStyle w:val="Compact"/>
              <w:jc w:val="left"/>
            </w:pPr>
            <w:r>
              <w:t xml:space="preserve">0.82</w:t>
            </w:r>
          </w:p>
        </w:tc>
      </w:tr>
    </w:tbl>
    <w:p>
      <w:pPr>
        <w:pStyle w:val="BodyText"/>
      </w:pPr>
      <w:r>
        <w:t xml:space="preserve">As seen in the table, the treatment effect is significant for Score A.</w:t>
      </w:r>
    </w:p>
    <w:p>
      <w:pPr>
        <w:pStyle w:val="Heading2"/>
      </w:pPr>
      <w:bookmarkStart w:id="27" w:name="section-3-discussion"/>
      <w:r>
        <w:t xml:space="preserve">Discussion</w:t>
      </w:r>
      <w:bookmarkEnd w:id="27"/>
    </w:p>
    <w:p>
      <w:pPr>
        <w:pStyle w:val="FirstParagraph"/>
      </w:pPr>
      <w:r>
        <w:t xml:space="preserve">The results indicate that the chunking pipeline works effectively. Each section should now appear cleanly formatted in the final HTML document with the proper Huashu design classes applied.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Scientific Report</dc:title>
  <dc:creator/>
  <dc:language>en</dc:language>
  <cp:keywords/>
  <dcterms:created xsi:type="dcterms:W3CDTF">2026-05-11T14:20:58Z</dcterms:created>
  <dcterms:modified xsi:type="dcterms:W3CDTF">2026-05-11T14:20:58Z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