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ProcesoNavar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Tabla de 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ProcesoNavar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Flujo Navar QA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3760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Detectar apuntador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492160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Despliegue de visualización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14757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Obtener ID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465697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Comparar patrón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326306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Triangular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00349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Detectar objetos rígidos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286002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Recibir datos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94947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Procesar datos intrinsecos y extrinsecos.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Diagrama 1</w:t>
      </w:r>
      <w:bookmarkEnd w:id="2"/>
    </w:p>
    <w:p>
      <w:pPr>
        <w:jc w:val="center"/>
      </w:pPr>
      <w:r>
        <w:drawing>
          <wp:inline>
            <wp:extent cx="7886700" cy="31242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Interfaz</w:t>
      </w:r>
    </w:p>
    <w:p>
      <w:pPr>
        <w:pStyle w:val="bizHeading2"/>
      </w:pPr>
      <w:bookmarkStart w:id="3" w:name="a582464c-0254-4834-8e9f-6b65cd5d5d91"/>
      <w:bookmarkStart w:id="4" w:name="_Toc256000003"/>
      <w:r>
        <w:t>Flujo Navar QA</w:t>
      </w:r>
      <w:bookmarkEnd w:id="4"/>
    </w:p>
    <w:p>
      <w:pPr>
        <w:pStyle w:val="bizHeading3"/>
      </w:pPr>
      <w:bookmarkEnd w:id="3"/>
      <w:bookmarkStart w:id="5" w:name="_Toc256000004"/>
      <w:r>
        <w:t>Elementos del proceso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4504644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60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Detectar apuntador</w:t>
      </w:r>
      <w:bookmarkEnd w:id="6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7" w:name="_Toc256000006"/>
      <w:r>
        <w:drawing>
          <wp:inline>
            <wp:extent cx="152421" cy="152421"/>
            <wp:docPr id="475188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65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Despliegue de visualización</w:t>
      </w:r>
      <w:bookmarkEnd w:id="7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8" w:name="_Toc256000007"/>
      <w:r>
        <w:drawing>
          <wp:inline>
            <wp:extent cx="152421" cy="152421"/>
            <wp:docPr id="12300675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10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Obtener ID</w:t>
      </w:r>
      <w:bookmarkEnd w:id="8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9" w:name="_Toc256000008"/>
      <w:r>
        <w:drawing>
          <wp:inline>
            <wp:extent cx="152421" cy="152421"/>
            <wp:docPr id="1921573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5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Comparar patrón</w:t>
      </w:r>
      <w:bookmarkEnd w:id="9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10" w:name="_Toc256000009"/>
      <w:r>
        <w:drawing>
          <wp:inline>
            <wp:extent cx="152421" cy="152421"/>
            <wp:docPr id="13525917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00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Triangular</w:t>
      </w:r>
      <w:bookmarkEnd w:id="10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11" w:name="_Toc256000010"/>
      <w:r>
        <w:drawing>
          <wp:inline>
            <wp:extent cx="152421" cy="152421"/>
            <wp:docPr id="1630938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5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Detectar objetos rígidos</w:t>
      </w:r>
      <w:bookmarkEnd w:id="11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12" w:name="_Toc256000011"/>
      <w:r>
        <w:drawing>
          <wp:inline>
            <wp:extent cx="152421" cy="152421"/>
            <wp:docPr id="19019207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0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Recibir datos</w:t>
      </w:r>
      <w:bookmarkEnd w:id="12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>
      <w:pPr>
        <w:pStyle w:val="bizHeading4"/>
      </w:pPr>
      <w:bookmarkStart w:id="13" w:name="_Toc256000012"/>
      <w:r>
        <w:drawing>
          <wp:inline>
            <wp:extent cx="152421" cy="152421"/>
            <wp:docPr id="7081948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4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Procesar datos intrinsecos y extrinsecos.</w:t>
      </w:r>
      <w:bookmarkEnd w:id="13"/>
    </w:p>
    <w:p/>
    <w:p>
      <w:pPr>
        <w:pStyle w:val="BoldModelerNormal"/>
      </w:pPr>
      <w:r>
        <w:t>Implementación</w:t>
      </w:r>
    </w:p>
    <w:p>
      <w:pPr>
        <w:pStyle w:val="ModelerNormal"/>
      </w:pPr>
      <w:r>
        <w:t>Servicio Web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d/MM/yyyy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17/02/2020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5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numbering" Target="numbering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5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2018-07-11T18:32:00Z</dcterms:created>
  <dcterms:modified xsi:type="dcterms:W3CDTF">2018-07-11T18:33:00Z</dcterms:modified>
</cp:coreProperties>
</file>