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65C874" w14:textId="69C25230" w:rsidR="00E41637" w:rsidRDefault="00E41637" w:rsidP="00E41637">
      <w:pPr>
        <w:pStyle w:val="Title"/>
        <w:rPr>
          <w:lang w:val="en-US"/>
        </w:rPr>
      </w:pPr>
      <w:r>
        <w:rPr>
          <w:lang w:val="en-US"/>
        </w:rPr>
        <w:t>DCAF Engine-to-Engine (E2E) Tag Exchange Module</w:t>
      </w:r>
    </w:p>
    <w:p w14:paraId="4692CE22" w14:textId="45F4E0D4" w:rsidR="00E41637" w:rsidRDefault="00E41637" w:rsidP="00E41637">
      <w:pPr>
        <w:rPr>
          <w:lang w:val="en-US"/>
        </w:rPr>
      </w:pPr>
      <w:r>
        <w:rPr>
          <w:lang w:val="en-US"/>
        </w:rPr>
        <w:t xml:space="preserve">The DCAF Engine-to-Engine (E2E) Tag Exchange Module is a plug-in module for the Distributed Control and Automation Framework (DCAF). </w:t>
      </w:r>
      <w:r w:rsidR="0006185E">
        <w:rPr>
          <w:lang w:val="en-US"/>
        </w:rPr>
        <w:t>Using this module requires a</w:t>
      </w:r>
      <w:r w:rsidR="003D6676">
        <w:rPr>
          <w:lang w:val="en-US"/>
        </w:rPr>
        <w:t xml:space="preserve"> basic understanding of the principles of DCAF, including but not limited to: installing DCAF plugins, modifying a DCAF configuration using the Standard Configuration Editor, and running a DCAF configuration using the Engine Execution Interface. Getting Started Guides and general information about DCAF can be found on the </w:t>
      </w:r>
      <w:hyperlink r:id="rId6" w:history="1">
        <w:r w:rsidR="003D6676" w:rsidRPr="003D6676">
          <w:rPr>
            <w:rStyle w:val="Hyperlink"/>
            <w:lang w:val="en-US"/>
          </w:rPr>
          <w:t>DCAF Community Page</w:t>
        </w:r>
      </w:hyperlink>
      <w:r w:rsidR="003D6676">
        <w:rPr>
          <w:lang w:val="en-US"/>
        </w:rPr>
        <w:t>.</w:t>
      </w:r>
    </w:p>
    <w:p w14:paraId="1A686798" w14:textId="39C09D6A" w:rsidR="00E41637" w:rsidRDefault="00E41637" w:rsidP="00E41637">
      <w:pPr>
        <w:pStyle w:val="Heading1"/>
        <w:rPr>
          <w:lang w:val="en-US"/>
        </w:rPr>
      </w:pPr>
      <w:r>
        <w:rPr>
          <w:lang w:val="en-US"/>
        </w:rPr>
        <w:t>Overview</w:t>
      </w:r>
    </w:p>
    <w:p w14:paraId="2D63B277" w14:textId="0A9F8CE0" w:rsidR="00E41637" w:rsidRDefault="00944935" w:rsidP="00E41637">
      <w:r w:rsidRPr="00944935">
        <w:t xml:space="preserve">The Engine-to-Engine Tag Exchange (E2E) module is meant to simplify the exchange of tags between separate DCAF engines. Rather than configuring output and input channels manually using a specific I/O Module to exchange tags, the E2E module handles channel configuration automatically when a tag is selected to be shared between engines. The editor node of the E2E module also allows the user to determine the transfer mechanism for tag exchange. The transfer mechanism determines the allowable data types, the pairing depth (inner-target, inter-target, both), and </w:t>
      </w:r>
      <w:proofErr w:type="gramStart"/>
      <w:r w:rsidRPr="00944935">
        <w:t>other</w:t>
      </w:r>
      <w:proofErr w:type="gramEnd"/>
      <w:r w:rsidRPr="00944935">
        <w:t xml:space="preserve"> specific configuration information. The module was designed to allow for users to create and add new transfer mechanisms. The first two implemented mechanisms were UDP and Single Element RT FIFOs.</w:t>
      </w:r>
    </w:p>
    <w:p w14:paraId="561200A8" w14:textId="7943501E" w:rsidR="005B5814" w:rsidRDefault="005B5814" w:rsidP="005B5814">
      <w:pPr>
        <w:pStyle w:val="Heading1"/>
        <w:rPr>
          <w:lang w:val="en-US"/>
        </w:rPr>
      </w:pPr>
      <w:r>
        <w:rPr>
          <w:lang w:val="en-US"/>
        </w:rPr>
        <w:t>Required Software</w:t>
      </w:r>
    </w:p>
    <w:p w14:paraId="55B8560E" w14:textId="77777777" w:rsidR="005B5814" w:rsidRPr="005B5814" w:rsidRDefault="005B5814" w:rsidP="005B5814">
      <w:pPr>
        <w:pStyle w:val="ListParagraph"/>
        <w:numPr>
          <w:ilvl w:val="0"/>
          <w:numId w:val="8"/>
        </w:numPr>
        <w:rPr>
          <w:lang w:val="en-US"/>
        </w:rPr>
      </w:pPr>
      <w:r w:rsidRPr="005B5814">
        <w:rPr>
          <w:lang w:val="en-US"/>
        </w:rPr>
        <w:t>LabVIEW 2015 or Later</w:t>
      </w:r>
    </w:p>
    <w:p w14:paraId="1BCA471B" w14:textId="77777777" w:rsidR="005B5814" w:rsidRPr="005B5814" w:rsidRDefault="005B5814" w:rsidP="005B5814">
      <w:pPr>
        <w:pStyle w:val="ListParagraph"/>
        <w:numPr>
          <w:ilvl w:val="0"/>
          <w:numId w:val="8"/>
        </w:numPr>
        <w:rPr>
          <w:lang w:val="en-US"/>
        </w:rPr>
      </w:pPr>
      <w:r w:rsidRPr="005B5814">
        <w:rPr>
          <w:lang w:val="en-US"/>
        </w:rPr>
        <w:t>DCAF Tag Editor 2.1.3.172 or Later</w:t>
      </w:r>
    </w:p>
    <w:p w14:paraId="3A169F7D" w14:textId="77777777" w:rsidR="005B5814" w:rsidRPr="005B5814" w:rsidRDefault="005B5814" w:rsidP="005B5814">
      <w:pPr>
        <w:pStyle w:val="ListParagraph"/>
        <w:numPr>
          <w:ilvl w:val="0"/>
          <w:numId w:val="8"/>
        </w:numPr>
        <w:rPr>
          <w:lang w:val="en-US"/>
        </w:rPr>
      </w:pPr>
      <w:r w:rsidRPr="005B5814">
        <w:rPr>
          <w:lang w:val="en-US"/>
        </w:rPr>
        <w:t>DCAF Standard Engine 2.4.0.8 or Later</w:t>
      </w:r>
    </w:p>
    <w:p w14:paraId="6D82BB06" w14:textId="767742F0" w:rsidR="005B5814" w:rsidRDefault="005B5814" w:rsidP="005B5814">
      <w:pPr>
        <w:pStyle w:val="ListParagraph"/>
        <w:numPr>
          <w:ilvl w:val="0"/>
          <w:numId w:val="8"/>
        </w:numPr>
        <w:rPr>
          <w:lang w:val="en-US"/>
        </w:rPr>
      </w:pPr>
      <w:r w:rsidRPr="005B5814">
        <w:rPr>
          <w:lang w:val="en-US"/>
        </w:rPr>
        <w:t>DCAF UI Reference Module 2.3.0.12 or Later (For Example)</w:t>
      </w:r>
    </w:p>
    <w:p w14:paraId="584FECE5" w14:textId="14FB5749" w:rsidR="005B5814" w:rsidRDefault="005B5814" w:rsidP="005B5814">
      <w:pPr>
        <w:rPr>
          <w:lang w:val="en-US"/>
        </w:rPr>
      </w:pPr>
      <w:r>
        <w:rPr>
          <w:lang w:val="en-US"/>
        </w:rPr>
        <w:t>The required DCAF components can be downloaded and installed from the LabVIEW Tools Network Repository through VI Package Manager.</w:t>
      </w:r>
    </w:p>
    <w:p w14:paraId="5C933FF8" w14:textId="0BA71A27" w:rsidR="00CE7D2B" w:rsidRDefault="00CE7D2B" w:rsidP="00CE7D2B">
      <w:pPr>
        <w:pStyle w:val="Heading1"/>
        <w:rPr>
          <w:lang w:val="en-US"/>
        </w:rPr>
      </w:pPr>
      <w:r>
        <w:rPr>
          <w:lang w:val="en-US"/>
        </w:rPr>
        <w:t>Licensing</w:t>
      </w:r>
      <w:r w:rsidR="008750C9">
        <w:rPr>
          <w:lang w:val="en-US"/>
        </w:rPr>
        <w:t xml:space="preserve"> and Support</w:t>
      </w:r>
    </w:p>
    <w:p w14:paraId="2F0DA62C" w14:textId="59495B5C" w:rsidR="00CE7D2B" w:rsidRPr="00CE7D2B" w:rsidRDefault="00CE7D2B" w:rsidP="00CE7D2B">
      <w:pPr>
        <w:rPr>
          <w:lang w:val="en-US"/>
        </w:rPr>
      </w:pPr>
      <w:r w:rsidRPr="00CE7D2B">
        <w:t xml:space="preserve">Copyright </w:t>
      </w:r>
      <w:r>
        <w:rPr>
          <w:lang w:val="en-US"/>
        </w:rPr>
        <w:t xml:space="preserve">2018 Data Ahead </w:t>
      </w:r>
      <w:r w:rsidR="00DE4E88">
        <w:rPr>
          <w:lang w:val="en-US"/>
        </w:rPr>
        <w:t>AG</w:t>
      </w:r>
    </w:p>
    <w:p w14:paraId="257CBEC1" w14:textId="3BA4508A" w:rsidR="00CE7D2B" w:rsidRPr="00CE7D2B" w:rsidRDefault="00CE7D2B" w:rsidP="00CE7D2B">
      <w:r w:rsidRPr="00CE7D2B">
        <w:t>Licensed under the Apache License, Version 2.0 (the "License");</w:t>
      </w:r>
      <w:r>
        <w:rPr>
          <w:lang w:val="en-US"/>
        </w:rPr>
        <w:t xml:space="preserve"> </w:t>
      </w:r>
      <w:r w:rsidRPr="00CE7D2B">
        <w:t xml:space="preserve">you may not use </w:t>
      </w:r>
      <w:r w:rsidR="008750C9">
        <w:rPr>
          <w:lang w:val="en-US"/>
        </w:rPr>
        <w:t>this plugin</w:t>
      </w:r>
      <w:r w:rsidRPr="00CE7D2B">
        <w:t xml:space="preserve"> except in compliance with the License.</w:t>
      </w:r>
    </w:p>
    <w:p w14:paraId="726388E2" w14:textId="15E5792F" w:rsidR="00CE7D2B" w:rsidRPr="00CE7D2B" w:rsidRDefault="00CE7D2B" w:rsidP="00CE7D2B">
      <w:r w:rsidRPr="00CE7D2B">
        <w:t>You may obtain a copy of the License at</w:t>
      </w:r>
    </w:p>
    <w:p w14:paraId="32D1F965" w14:textId="1F66AB29" w:rsidR="00CE7D2B" w:rsidRPr="00CE7D2B" w:rsidRDefault="00CE7D2B" w:rsidP="00CE7D2B">
      <w:r w:rsidRPr="00CE7D2B">
        <w:t xml:space="preserve">    http://www.apache.org/licenses/LICENSE-2.0</w:t>
      </w:r>
    </w:p>
    <w:p w14:paraId="58DF5504" w14:textId="24A309EF" w:rsidR="00CE7D2B" w:rsidRDefault="00CE7D2B" w:rsidP="00CE7D2B">
      <w:r w:rsidRPr="00CE7D2B">
        <w:t>Unless required by applicable law or agreed to in writing, software</w:t>
      </w:r>
      <w:r>
        <w:rPr>
          <w:lang w:val="en-US"/>
        </w:rPr>
        <w:t xml:space="preserve"> </w:t>
      </w:r>
      <w:r w:rsidRPr="00CE7D2B">
        <w:t>distributed under the License is distributed on an "AS IS" BASIS,</w:t>
      </w:r>
      <w:r>
        <w:rPr>
          <w:lang w:val="en-US"/>
        </w:rPr>
        <w:t xml:space="preserve"> </w:t>
      </w:r>
      <w:r w:rsidRPr="00CE7D2B">
        <w:t>WITHOUT WARRANTIES OR CONDITIONS OF ANY KIND, either express or implied.</w:t>
      </w:r>
      <w:r>
        <w:rPr>
          <w:lang w:val="en-US"/>
        </w:rPr>
        <w:t xml:space="preserve"> </w:t>
      </w:r>
      <w:r w:rsidRPr="00CE7D2B">
        <w:t>See the License for the specific language governing permissions and</w:t>
      </w:r>
      <w:r>
        <w:rPr>
          <w:lang w:val="en-US"/>
        </w:rPr>
        <w:t xml:space="preserve"> </w:t>
      </w:r>
      <w:r w:rsidRPr="00CE7D2B">
        <w:t>limitations under the License.</w:t>
      </w:r>
    </w:p>
    <w:p w14:paraId="1DC0DF68" w14:textId="100E0265" w:rsidR="008750C9" w:rsidRPr="008750C9" w:rsidRDefault="008750C9" w:rsidP="00CE7D2B">
      <w:pPr>
        <w:rPr>
          <w:lang w:val="en-US"/>
        </w:rPr>
      </w:pPr>
      <w:r>
        <w:rPr>
          <w:lang w:val="en-US"/>
        </w:rPr>
        <w:t xml:space="preserve">Data Ahead </w:t>
      </w:r>
      <w:r w:rsidR="00DE4E88">
        <w:rPr>
          <w:lang w:val="en-US"/>
        </w:rPr>
        <w:t>AG</w:t>
      </w:r>
      <w:r>
        <w:rPr>
          <w:lang w:val="en-US"/>
        </w:rPr>
        <w:t xml:space="preserve"> will not provide any support for this plug-in as it is distributed free of charge. Support for DCAF can be found on the NI Discussion Forums at: </w:t>
      </w:r>
      <w:hyperlink r:id="rId7" w:history="1">
        <w:r w:rsidRPr="008750C9">
          <w:rPr>
            <w:rStyle w:val="Hyperlink"/>
            <w:lang w:val="en-US"/>
          </w:rPr>
          <w:t>https://forums.ni.com/t5/Distributed-Control-Automation/gp-p/5235</w:t>
        </w:r>
      </w:hyperlink>
      <w:r>
        <w:rPr>
          <w:lang w:val="en-US"/>
        </w:rPr>
        <w:t>.</w:t>
      </w:r>
    </w:p>
    <w:p w14:paraId="38B7963B" w14:textId="77777777" w:rsidR="005B5814" w:rsidRDefault="005B5814">
      <w:pPr>
        <w:rPr>
          <w:lang w:val="en-US"/>
        </w:rPr>
      </w:pPr>
      <w:r>
        <w:rPr>
          <w:lang w:val="en-US"/>
        </w:rPr>
        <w:br w:type="page"/>
      </w:r>
      <w:bookmarkStart w:id="0" w:name="_GoBack"/>
      <w:bookmarkEnd w:id="0"/>
    </w:p>
    <w:p w14:paraId="0EF3F84F" w14:textId="6C993731" w:rsidR="00E41637" w:rsidRDefault="00E41637" w:rsidP="00E41637">
      <w:pPr>
        <w:pStyle w:val="Heading1"/>
        <w:rPr>
          <w:lang w:val="en-US"/>
        </w:rPr>
      </w:pPr>
      <w:r>
        <w:rPr>
          <w:lang w:val="en-US"/>
        </w:rPr>
        <w:lastRenderedPageBreak/>
        <w:t>Using the Module in the Standard Configuration Editor</w:t>
      </w:r>
    </w:p>
    <w:p w14:paraId="4CE74B0F" w14:textId="3179AF59" w:rsidR="00C22550" w:rsidRPr="00C22550" w:rsidRDefault="00C22550" w:rsidP="00C22550">
      <w:pPr>
        <w:pStyle w:val="Heading2"/>
        <w:rPr>
          <w:lang w:val="en-US"/>
        </w:rPr>
      </w:pPr>
      <w:r>
        <w:rPr>
          <w:lang w:val="en-US"/>
        </w:rPr>
        <w:t>Adding the Module to a DCAF Configuration</w:t>
      </w:r>
    </w:p>
    <w:p w14:paraId="1D03B51E" w14:textId="77777777" w:rsidR="00C22550" w:rsidRDefault="002008EF" w:rsidP="00E41637">
      <w:pPr>
        <w:rPr>
          <w:lang w:val="en-US"/>
        </w:rPr>
      </w:pPr>
      <w:r w:rsidRPr="002008EF">
        <w:rPr>
          <w:lang w:val="en-US"/>
        </w:rPr>
        <w:t>Th</w:t>
      </w:r>
      <w:r w:rsidR="00C22550">
        <w:rPr>
          <w:lang w:val="en-US"/>
        </w:rPr>
        <w:t>e</w:t>
      </w:r>
      <w:r w:rsidRPr="002008EF">
        <w:rPr>
          <w:lang w:val="en-US"/>
        </w:rPr>
        <w:t xml:space="preserve"> VI</w:t>
      </w:r>
      <w:r w:rsidR="00C22550">
        <w:rPr>
          <w:lang w:val="en-US"/>
        </w:rPr>
        <w:t xml:space="preserve"> Package Manger installer for the E2E Module will </w:t>
      </w:r>
      <w:r w:rsidRPr="002008EF">
        <w:rPr>
          <w:lang w:val="en-US"/>
        </w:rPr>
        <w:t>attempt to add the E2E Module's destination directory to the DCAF Configuration Editor's plugin search paths. If suc</w:t>
      </w:r>
      <w:r>
        <w:rPr>
          <w:lang w:val="en-US"/>
        </w:rPr>
        <w:t>c</w:t>
      </w:r>
      <w:r w:rsidRPr="002008EF">
        <w:rPr>
          <w:lang w:val="en-US"/>
        </w:rPr>
        <w:t xml:space="preserve">essful, you will be able to add the E2E Module to your DCAF Engine's configuration by right clicking the engine configuration and selecting </w:t>
      </w:r>
      <w:r w:rsidRPr="00C22550">
        <w:rPr>
          <w:color w:val="4472C4" w:themeColor="accent1"/>
          <w:lang w:val="en-US"/>
        </w:rPr>
        <w:t>Add&gt;&gt;Other&gt;&gt;E2E Tag Exchange</w:t>
      </w:r>
      <w:r w:rsidRPr="002008EF">
        <w:rPr>
          <w:lang w:val="en-US"/>
        </w:rPr>
        <w:t xml:space="preserve">. </w:t>
      </w:r>
    </w:p>
    <w:p w14:paraId="0F6CE33D" w14:textId="32DF9A5E" w:rsidR="00C22550" w:rsidRDefault="00C22550" w:rsidP="00E41637">
      <w:pPr>
        <w:rPr>
          <w:lang w:val="en-US"/>
        </w:rPr>
      </w:pPr>
      <w:r>
        <w:rPr>
          <w:noProof/>
        </w:rPr>
        <w:drawing>
          <wp:inline distT="0" distB="0" distL="0" distR="0" wp14:anchorId="4731D7DF" wp14:editId="49490682">
            <wp:extent cx="5731510" cy="29552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955290"/>
                    </a:xfrm>
                    <a:prstGeom prst="rect">
                      <a:avLst/>
                    </a:prstGeom>
                  </pic:spPr>
                </pic:pic>
              </a:graphicData>
            </a:graphic>
          </wp:inline>
        </w:drawing>
      </w:r>
    </w:p>
    <w:p w14:paraId="44107A14" w14:textId="06569455" w:rsidR="00E41637" w:rsidRDefault="002008EF" w:rsidP="00E41637">
      <w:pPr>
        <w:rPr>
          <w:lang w:val="en-US"/>
        </w:rPr>
      </w:pPr>
      <w:r w:rsidRPr="002008EF">
        <w:rPr>
          <w:lang w:val="en-US"/>
        </w:rPr>
        <w:t>If not, you will need to add the E2E Module's destination directory</w:t>
      </w:r>
      <w:r w:rsidR="00C22550">
        <w:rPr>
          <w:lang w:val="en-US"/>
        </w:rPr>
        <w:t xml:space="preserve"> to the Plugin search paths</w:t>
      </w:r>
      <w:r w:rsidRPr="002008EF">
        <w:rPr>
          <w:lang w:val="en-US"/>
        </w:rPr>
        <w:t xml:space="preserve"> manually. The default installation directory for the E2E module</w:t>
      </w:r>
      <w:r w:rsidRPr="00C22550">
        <w:rPr>
          <w:lang w:val="en-US"/>
        </w:rPr>
        <w:t xml:space="preserve"> is</w:t>
      </w:r>
      <w:r w:rsidRPr="00C22550">
        <w:rPr>
          <w:i/>
          <w:lang w:val="en-US"/>
        </w:rPr>
        <w:t xml:space="preserve"> \&lt;LabVIEW&gt;\vi.lib\Data Ahead </w:t>
      </w:r>
      <w:r w:rsidR="00DE4E88">
        <w:rPr>
          <w:i/>
          <w:lang w:val="en-US"/>
        </w:rPr>
        <w:t>AG</w:t>
      </w:r>
      <w:r w:rsidRPr="00C22550">
        <w:rPr>
          <w:i/>
          <w:lang w:val="en-US"/>
        </w:rPr>
        <w:t>\DCAF\E2E Tag Exchange Module</w:t>
      </w:r>
      <w:r w:rsidRPr="002008EF">
        <w:rPr>
          <w:lang w:val="en-US"/>
        </w:rPr>
        <w:t xml:space="preserve">. Add the directory to the plugin search paths by selection </w:t>
      </w:r>
      <w:r w:rsidRPr="00C22550">
        <w:rPr>
          <w:color w:val="4472C4" w:themeColor="accent1"/>
          <w:lang w:val="en-US"/>
        </w:rPr>
        <w:t xml:space="preserve">Tools&gt;&gt;Edit Plugin Search Paths... </w:t>
      </w:r>
      <w:r w:rsidRPr="002008EF">
        <w:rPr>
          <w:lang w:val="en-US"/>
        </w:rPr>
        <w:t>from the toolbar of the DCAF Standard Configuration editor.</w:t>
      </w:r>
    </w:p>
    <w:p w14:paraId="3215BEFE" w14:textId="424CD524" w:rsidR="00C22550" w:rsidRDefault="00C22550" w:rsidP="00E41637">
      <w:pPr>
        <w:rPr>
          <w:lang w:val="en-US"/>
        </w:rPr>
      </w:pPr>
      <w:r>
        <w:rPr>
          <w:noProof/>
        </w:rPr>
        <w:drawing>
          <wp:inline distT="0" distB="0" distL="0" distR="0" wp14:anchorId="29AB2969" wp14:editId="0A6CAA23">
            <wp:extent cx="5731510" cy="301434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014345"/>
                    </a:xfrm>
                    <a:prstGeom prst="rect">
                      <a:avLst/>
                    </a:prstGeom>
                  </pic:spPr>
                </pic:pic>
              </a:graphicData>
            </a:graphic>
          </wp:inline>
        </w:drawing>
      </w:r>
    </w:p>
    <w:p w14:paraId="1899A8FC" w14:textId="30BDA52D" w:rsidR="000E5716" w:rsidRDefault="000E5716" w:rsidP="000E5716">
      <w:pPr>
        <w:pStyle w:val="Heading2"/>
        <w:rPr>
          <w:lang w:val="en-US"/>
        </w:rPr>
      </w:pPr>
      <w:r>
        <w:rPr>
          <w:lang w:val="en-US"/>
        </w:rPr>
        <w:lastRenderedPageBreak/>
        <w:t>Selecting a Runtime Implementation</w:t>
      </w:r>
    </w:p>
    <w:p w14:paraId="76766E49" w14:textId="38C821F0" w:rsidR="000E5716" w:rsidRDefault="000E5716" w:rsidP="000E5716">
      <w:pPr>
        <w:rPr>
          <w:lang w:val="en-US"/>
        </w:rPr>
      </w:pPr>
      <w:r>
        <w:rPr>
          <w:lang w:val="en-US"/>
        </w:rPr>
        <w:t xml:space="preserve">Once you have added the E2E Module to a DCAF Engine, you can select its runtime implementation by using the drop-down box on the Node Pairing tab of the configuration window. </w:t>
      </w:r>
    </w:p>
    <w:p w14:paraId="70CAD4FE" w14:textId="6E2BAD50" w:rsidR="000E5716" w:rsidRDefault="008303B6" w:rsidP="000E5716">
      <w:pPr>
        <w:rPr>
          <w:lang w:val="en-US"/>
        </w:rPr>
      </w:pPr>
      <w:r>
        <w:rPr>
          <w:noProof/>
        </w:rPr>
        <mc:AlternateContent>
          <mc:Choice Requires="wps">
            <w:drawing>
              <wp:anchor distT="0" distB="0" distL="114300" distR="114300" simplePos="0" relativeHeight="251659264" behindDoc="0" locked="0" layoutInCell="1" allowOverlap="1" wp14:anchorId="1CA4CD93" wp14:editId="1CD0D0CD">
                <wp:simplePos x="0" y="0"/>
                <wp:positionH relativeFrom="column">
                  <wp:posOffset>1597688</wp:posOffset>
                </wp:positionH>
                <wp:positionV relativeFrom="paragraph">
                  <wp:posOffset>991786</wp:posOffset>
                </wp:positionV>
                <wp:extent cx="1210826" cy="457200"/>
                <wp:effectExtent l="0" t="0" r="27940" b="19050"/>
                <wp:wrapNone/>
                <wp:docPr id="6" name="Rectangle 6"/>
                <wp:cNvGraphicFramePr/>
                <a:graphic xmlns:a="http://schemas.openxmlformats.org/drawingml/2006/main">
                  <a:graphicData uri="http://schemas.microsoft.com/office/word/2010/wordprocessingShape">
                    <wps:wsp>
                      <wps:cNvSpPr/>
                      <wps:spPr>
                        <a:xfrm>
                          <a:off x="0" y="0"/>
                          <a:ext cx="1210826" cy="4572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AF64C7" id="Rectangle 6" o:spid="_x0000_s1026" style="position:absolute;margin-left:125.8pt;margin-top:78.1pt;width:95.35pt;height:3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" filled="f" strokecolor="red" strokeweight="1pt"/>
            </w:pict>
          </mc:Fallback>
        </mc:AlternateContent>
      </w:r>
      <w:r w:rsidR="00FE4F32">
        <w:rPr>
          <w:noProof/>
        </w:rPr>
        <w:drawing>
          <wp:inline distT="0" distB="0" distL="0" distR="0" wp14:anchorId="7D020CA2" wp14:editId="5F8E4017">
            <wp:extent cx="5731510" cy="295529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955290"/>
                    </a:xfrm>
                    <a:prstGeom prst="rect">
                      <a:avLst/>
                    </a:prstGeom>
                  </pic:spPr>
                </pic:pic>
              </a:graphicData>
            </a:graphic>
          </wp:inline>
        </w:drawing>
      </w:r>
    </w:p>
    <w:p w14:paraId="08F8F348" w14:textId="5E3E9BFD" w:rsidR="009656FE" w:rsidRDefault="000E5716" w:rsidP="000E5716">
      <w:pPr>
        <w:rPr>
          <w:lang w:val="en-US"/>
        </w:rPr>
      </w:pPr>
      <w:r>
        <w:rPr>
          <w:lang w:val="en-US"/>
        </w:rPr>
        <w:t xml:space="preserve">The runtime implementation determines which runtime component is used to exchange the tags, which pairing distances are acceptable, the data types that can be exchanged, and </w:t>
      </w:r>
      <w:proofErr w:type="gramStart"/>
      <w:r>
        <w:rPr>
          <w:lang w:val="en-US"/>
        </w:rPr>
        <w:t>other</w:t>
      </w:r>
      <w:proofErr w:type="gramEnd"/>
      <w:r>
        <w:rPr>
          <w:lang w:val="en-US"/>
        </w:rPr>
        <w:t xml:space="preserve"> specific configuration information.</w:t>
      </w:r>
    </w:p>
    <w:p w14:paraId="0CB0306E" w14:textId="649E64D7" w:rsidR="000E5716" w:rsidRPr="000E5716" w:rsidRDefault="009656FE" w:rsidP="000E5716">
      <w:pPr>
        <w:rPr>
          <w:lang w:val="en-US"/>
        </w:rPr>
      </w:pPr>
      <w:r>
        <w:rPr>
          <w:lang w:val="en-US"/>
        </w:rPr>
        <w:br w:type="page"/>
      </w:r>
    </w:p>
    <w:p w14:paraId="72FBD533" w14:textId="0BE916A2" w:rsidR="00C22550" w:rsidRDefault="00C22550" w:rsidP="00C22550">
      <w:pPr>
        <w:pStyle w:val="Heading2"/>
        <w:rPr>
          <w:lang w:val="en-US"/>
        </w:rPr>
      </w:pPr>
      <w:r>
        <w:rPr>
          <w:lang w:val="en-US"/>
        </w:rPr>
        <w:lastRenderedPageBreak/>
        <w:t>Pairing the Module</w:t>
      </w:r>
    </w:p>
    <w:p w14:paraId="08160226" w14:textId="4B542E2D" w:rsidR="00C22550" w:rsidRDefault="00C22550" w:rsidP="00C22550">
      <w:pPr>
        <w:rPr>
          <w:lang w:val="en-US"/>
        </w:rPr>
      </w:pPr>
      <w:r>
        <w:rPr>
          <w:lang w:val="en-US"/>
        </w:rPr>
        <w:t xml:space="preserve">E2E Modules exchange tags by pairing with each other on a One-to-One basis. </w:t>
      </w:r>
      <w:r w:rsidR="008303B6">
        <w:rPr>
          <w:lang w:val="en-US"/>
        </w:rPr>
        <w:t>When an E2E module is selected, the “E2E Nodes” table will display all other E2E modules in the configuration.</w:t>
      </w:r>
    </w:p>
    <w:p w14:paraId="287E4459" w14:textId="777C57ED" w:rsidR="000E5716" w:rsidRDefault="000E5716" w:rsidP="00C22550">
      <w:pPr>
        <w:rPr>
          <w:lang w:val="en-US"/>
        </w:rPr>
      </w:pPr>
      <w:r>
        <w:rPr>
          <w:noProof/>
        </w:rPr>
        <w:drawing>
          <wp:inline distT="0" distB="0" distL="0" distR="0" wp14:anchorId="332A05BC" wp14:editId="235A6C01">
            <wp:extent cx="5731510" cy="295529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955290"/>
                    </a:xfrm>
                    <a:prstGeom prst="rect">
                      <a:avLst/>
                    </a:prstGeom>
                  </pic:spPr>
                </pic:pic>
              </a:graphicData>
            </a:graphic>
          </wp:inline>
        </w:drawing>
      </w:r>
    </w:p>
    <w:p w14:paraId="7846084B" w14:textId="3EC1DE9F" w:rsidR="008303B6" w:rsidRDefault="008303B6" w:rsidP="00C22550">
      <w:pPr>
        <w:rPr>
          <w:lang w:val="en-US"/>
        </w:rPr>
      </w:pPr>
      <w:r>
        <w:rPr>
          <w:lang w:val="en-US"/>
        </w:rPr>
        <w:t>The information displayed for each module is:</w:t>
      </w:r>
    </w:p>
    <w:p w14:paraId="2E86413F" w14:textId="2CAB897A" w:rsidR="008303B6" w:rsidRDefault="008303B6" w:rsidP="008303B6">
      <w:pPr>
        <w:pStyle w:val="ListParagraph"/>
        <w:numPr>
          <w:ilvl w:val="0"/>
          <w:numId w:val="2"/>
        </w:numPr>
        <w:rPr>
          <w:lang w:val="en-US"/>
        </w:rPr>
      </w:pPr>
      <w:r>
        <w:rPr>
          <w:lang w:val="en-US"/>
        </w:rPr>
        <w:t>Display Name – The module’s current alias</w:t>
      </w:r>
    </w:p>
    <w:p w14:paraId="4BC5CBCF" w14:textId="0ABE9241" w:rsidR="008303B6" w:rsidRDefault="008303B6" w:rsidP="008303B6">
      <w:pPr>
        <w:pStyle w:val="ListParagraph"/>
        <w:numPr>
          <w:ilvl w:val="0"/>
          <w:numId w:val="2"/>
        </w:numPr>
        <w:rPr>
          <w:lang w:val="en-US"/>
        </w:rPr>
      </w:pPr>
      <w:r>
        <w:rPr>
          <w:lang w:val="en-US"/>
        </w:rPr>
        <w:t>UID – The unique identifier of the module</w:t>
      </w:r>
    </w:p>
    <w:p w14:paraId="4BFD7D1D" w14:textId="5C09CDC1" w:rsidR="008303B6" w:rsidRDefault="008303B6" w:rsidP="008303B6">
      <w:pPr>
        <w:pStyle w:val="ListParagraph"/>
        <w:numPr>
          <w:ilvl w:val="0"/>
          <w:numId w:val="2"/>
        </w:numPr>
        <w:rPr>
          <w:lang w:val="en-US"/>
        </w:rPr>
      </w:pPr>
      <w:r>
        <w:rPr>
          <w:lang w:val="en-US"/>
        </w:rPr>
        <w:t>Runtime Implementation</w:t>
      </w:r>
    </w:p>
    <w:p w14:paraId="7F27502F" w14:textId="08FBC325" w:rsidR="008303B6" w:rsidRDefault="008303B6" w:rsidP="008303B6">
      <w:pPr>
        <w:pStyle w:val="ListParagraph"/>
        <w:numPr>
          <w:ilvl w:val="0"/>
          <w:numId w:val="2"/>
        </w:numPr>
        <w:rPr>
          <w:lang w:val="en-US"/>
        </w:rPr>
      </w:pPr>
      <w:r>
        <w:rPr>
          <w:lang w:val="en-US"/>
        </w:rPr>
        <w:t>Distance – The relationship of the selected E2E module to the module in the table</w:t>
      </w:r>
    </w:p>
    <w:p w14:paraId="3D7A27D3" w14:textId="30B99305" w:rsidR="008303B6" w:rsidRDefault="008303B6" w:rsidP="008303B6">
      <w:pPr>
        <w:pStyle w:val="ListParagraph"/>
        <w:numPr>
          <w:ilvl w:val="1"/>
          <w:numId w:val="2"/>
        </w:numPr>
        <w:rPr>
          <w:lang w:val="en-US"/>
        </w:rPr>
      </w:pPr>
      <w:r>
        <w:rPr>
          <w:lang w:val="en-US"/>
        </w:rPr>
        <w:t>0 – The module is under the same engine</w:t>
      </w:r>
    </w:p>
    <w:p w14:paraId="5A49FBDC" w14:textId="1CC0F023" w:rsidR="008303B6" w:rsidRDefault="008303B6" w:rsidP="008303B6">
      <w:pPr>
        <w:pStyle w:val="ListParagraph"/>
        <w:numPr>
          <w:ilvl w:val="1"/>
          <w:numId w:val="2"/>
        </w:numPr>
        <w:rPr>
          <w:lang w:val="en-US"/>
        </w:rPr>
      </w:pPr>
      <w:r>
        <w:rPr>
          <w:lang w:val="en-US"/>
        </w:rPr>
        <w:t>1 – The module is under a different engine in the same target</w:t>
      </w:r>
    </w:p>
    <w:p w14:paraId="30C93E11" w14:textId="09BE315D" w:rsidR="008303B6" w:rsidRDefault="008303B6" w:rsidP="008303B6">
      <w:pPr>
        <w:pStyle w:val="ListParagraph"/>
        <w:numPr>
          <w:ilvl w:val="1"/>
          <w:numId w:val="2"/>
        </w:numPr>
        <w:rPr>
          <w:lang w:val="en-US"/>
        </w:rPr>
      </w:pPr>
      <w:r>
        <w:rPr>
          <w:lang w:val="en-US"/>
        </w:rPr>
        <w:t>2 – The module is under a different engine in a different target</w:t>
      </w:r>
    </w:p>
    <w:p w14:paraId="6078829E" w14:textId="01E1223C" w:rsidR="008303B6" w:rsidRDefault="008303B6" w:rsidP="008303B6">
      <w:pPr>
        <w:rPr>
          <w:lang w:val="en-US"/>
        </w:rPr>
      </w:pPr>
      <w:r>
        <w:rPr>
          <w:lang w:val="en-US"/>
        </w:rPr>
        <w:t>The row for a module will be disabled given one of the following conditions:</w:t>
      </w:r>
    </w:p>
    <w:p w14:paraId="5D794390" w14:textId="5F548F06" w:rsidR="008303B6" w:rsidRDefault="008303B6" w:rsidP="008303B6">
      <w:pPr>
        <w:pStyle w:val="ListParagraph"/>
        <w:numPr>
          <w:ilvl w:val="0"/>
          <w:numId w:val="3"/>
        </w:numPr>
        <w:rPr>
          <w:lang w:val="en-US"/>
        </w:rPr>
      </w:pPr>
      <w:r>
        <w:rPr>
          <w:lang w:val="en-US"/>
        </w:rPr>
        <w:t>The runtime implementation is different</w:t>
      </w:r>
    </w:p>
    <w:p w14:paraId="49FFBFD5" w14:textId="47449297" w:rsidR="008303B6" w:rsidRDefault="008303B6" w:rsidP="008303B6">
      <w:pPr>
        <w:pStyle w:val="ListParagraph"/>
        <w:numPr>
          <w:ilvl w:val="0"/>
          <w:numId w:val="3"/>
        </w:numPr>
        <w:rPr>
          <w:lang w:val="en-US"/>
        </w:rPr>
      </w:pPr>
      <w:r>
        <w:rPr>
          <w:lang w:val="en-US"/>
        </w:rPr>
        <w:t>The module is already paired</w:t>
      </w:r>
    </w:p>
    <w:p w14:paraId="2CB884FF" w14:textId="2874E374" w:rsidR="008303B6" w:rsidRDefault="008303B6" w:rsidP="008303B6">
      <w:pPr>
        <w:pStyle w:val="ListParagraph"/>
        <w:numPr>
          <w:ilvl w:val="0"/>
          <w:numId w:val="3"/>
        </w:numPr>
        <w:rPr>
          <w:lang w:val="en-US"/>
        </w:rPr>
      </w:pPr>
      <w:r>
        <w:rPr>
          <w:lang w:val="en-US"/>
        </w:rPr>
        <w:t>The runtime implementation doesn’t support the pairing distance (ex: RT FIFOs can’t exchange tags between separate targets)</w:t>
      </w:r>
    </w:p>
    <w:p w14:paraId="2746AAF7" w14:textId="26577251" w:rsidR="008303B6" w:rsidRDefault="0013678A" w:rsidP="008303B6">
      <w:pPr>
        <w:rPr>
          <w:lang w:val="en-US"/>
        </w:rPr>
      </w:pPr>
      <w:r>
        <w:rPr>
          <w:lang w:val="en-US"/>
        </w:rPr>
        <w:t xml:space="preserve">Pair a module by selecting an enabled row in the table and </w:t>
      </w:r>
      <w:r w:rsidR="00C975F4">
        <w:rPr>
          <w:lang w:val="en-US"/>
        </w:rPr>
        <w:t>clicking “Pair”.</w:t>
      </w:r>
      <w:r w:rsidR="00CD2A54">
        <w:rPr>
          <w:lang w:val="en-US"/>
        </w:rPr>
        <w:t xml:space="preserve"> Use the “Unpair” button to unpair the paired modules.</w:t>
      </w:r>
    </w:p>
    <w:p w14:paraId="0A2B217E" w14:textId="4B4F49AA" w:rsidR="00C975F4" w:rsidRDefault="00C975F4" w:rsidP="008303B6">
      <w:pPr>
        <w:rPr>
          <w:lang w:val="en-US"/>
        </w:rPr>
      </w:pPr>
      <w:r>
        <w:rPr>
          <w:noProof/>
        </w:rPr>
        <w:lastRenderedPageBreak/>
        <mc:AlternateContent>
          <mc:Choice Requires="wps">
            <w:drawing>
              <wp:anchor distT="0" distB="0" distL="114300" distR="114300" simplePos="0" relativeHeight="251660288" behindDoc="0" locked="0" layoutInCell="1" allowOverlap="1" wp14:anchorId="30CC07C8" wp14:editId="500DF673">
                <wp:simplePos x="0" y="0"/>
                <wp:positionH relativeFrom="column">
                  <wp:posOffset>1838325</wp:posOffset>
                </wp:positionH>
                <wp:positionV relativeFrom="paragraph">
                  <wp:posOffset>1552575</wp:posOffset>
                </wp:positionV>
                <wp:extent cx="619125" cy="371475"/>
                <wp:effectExtent l="0" t="0" r="28575" b="28575"/>
                <wp:wrapNone/>
                <wp:docPr id="8" name="Rectangle 8"/>
                <wp:cNvGraphicFramePr/>
                <a:graphic xmlns:a="http://schemas.openxmlformats.org/drawingml/2006/main">
                  <a:graphicData uri="http://schemas.microsoft.com/office/word/2010/wordprocessingShape">
                    <wps:wsp>
                      <wps:cNvSpPr/>
                      <wps:spPr>
                        <a:xfrm>
                          <a:off x="0" y="0"/>
                          <a:ext cx="619125" cy="3714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A53E93" id="Rectangle 8" o:spid="_x0000_s1026" style="position:absolute;margin-left:144.75pt;margin-top:122.25pt;width:48.75pt;height:29.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" filled="f" strokecolor="red" strokeweight="1pt"/>
            </w:pict>
          </mc:Fallback>
        </mc:AlternateContent>
      </w:r>
      <w:r>
        <w:rPr>
          <w:noProof/>
        </w:rPr>
        <w:drawing>
          <wp:inline distT="0" distB="0" distL="0" distR="0" wp14:anchorId="6F4CBF1C" wp14:editId="45FCCFC2">
            <wp:extent cx="5731510" cy="295529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955290"/>
                    </a:xfrm>
                    <a:prstGeom prst="rect">
                      <a:avLst/>
                    </a:prstGeom>
                  </pic:spPr>
                </pic:pic>
              </a:graphicData>
            </a:graphic>
          </wp:inline>
        </w:drawing>
      </w:r>
    </w:p>
    <w:p w14:paraId="3BC9EB7B" w14:textId="65550C6F" w:rsidR="00D751B5" w:rsidRDefault="00D751B5" w:rsidP="00D751B5">
      <w:pPr>
        <w:pStyle w:val="Heading2"/>
        <w:rPr>
          <w:lang w:val="en-US"/>
        </w:rPr>
      </w:pPr>
      <w:r>
        <w:rPr>
          <w:lang w:val="en-US"/>
        </w:rPr>
        <w:t>Exchanging Tags</w:t>
      </w:r>
    </w:p>
    <w:p w14:paraId="0ACAE3EE" w14:textId="17C7B78C" w:rsidR="00D751B5" w:rsidRDefault="00D751B5" w:rsidP="00D751B5">
      <w:pPr>
        <w:rPr>
          <w:lang w:val="en-US"/>
        </w:rPr>
      </w:pPr>
      <w:r>
        <w:rPr>
          <w:lang w:val="en-US"/>
        </w:rPr>
        <w:t>The “Tag Exchange” tab displays the following information:</w:t>
      </w:r>
    </w:p>
    <w:p w14:paraId="63D946A1" w14:textId="3CB7A7C7" w:rsidR="00D751B5" w:rsidRDefault="00D751B5" w:rsidP="00D751B5">
      <w:pPr>
        <w:pStyle w:val="ListParagraph"/>
        <w:numPr>
          <w:ilvl w:val="0"/>
          <w:numId w:val="4"/>
        </w:numPr>
        <w:rPr>
          <w:lang w:val="en-US"/>
        </w:rPr>
      </w:pPr>
      <w:r>
        <w:rPr>
          <w:lang w:val="en-US"/>
        </w:rPr>
        <w:t>Available Tag List – The tags that are currently available for exchange</w:t>
      </w:r>
    </w:p>
    <w:p w14:paraId="6CAC4359" w14:textId="6F00438C" w:rsidR="00D751B5" w:rsidRDefault="00D751B5" w:rsidP="00D751B5">
      <w:pPr>
        <w:pStyle w:val="ListParagraph"/>
        <w:numPr>
          <w:ilvl w:val="0"/>
          <w:numId w:val="4"/>
        </w:numPr>
        <w:rPr>
          <w:lang w:val="en-US"/>
        </w:rPr>
      </w:pPr>
      <w:r>
        <w:rPr>
          <w:lang w:val="en-US"/>
        </w:rPr>
        <w:t>To External Engine – Tags currently configured for transfer to the external engine</w:t>
      </w:r>
    </w:p>
    <w:p w14:paraId="782C3776" w14:textId="23ACEA15" w:rsidR="00D751B5" w:rsidRDefault="00D751B5" w:rsidP="00D751B5">
      <w:pPr>
        <w:pStyle w:val="ListParagraph"/>
        <w:numPr>
          <w:ilvl w:val="0"/>
          <w:numId w:val="4"/>
        </w:numPr>
        <w:rPr>
          <w:lang w:val="en-US"/>
        </w:rPr>
      </w:pPr>
      <w:r>
        <w:rPr>
          <w:lang w:val="en-US"/>
        </w:rPr>
        <w:t>From External Engine – Tags coming from the external engine</w:t>
      </w:r>
    </w:p>
    <w:p w14:paraId="3B9CF8ED" w14:textId="11E99F42" w:rsidR="00D751B5" w:rsidRDefault="00D751B5" w:rsidP="00D751B5">
      <w:pPr>
        <w:pStyle w:val="ListParagraph"/>
        <w:numPr>
          <w:ilvl w:val="0"/>
          <w:numId w:val="4"/>
        </w:numPr>
        <w:rPr>
          <w:lang w:val="en-US"/>
        </w:rPr>
      </w:pPr>
      <w:r>
        <w:rPr>
          <w:lang w:val="en-US"/>
        </w:rPr>
        <w:t>Filter – A string input used to filter results with a match pattern function</w:t>
      </w:r>
    </w:p>
    <w:p w14:paraId="4A8F69D0" w14:textId="1B854E31" w:rsidR="00D751B5" w:rsidRDefault="00D751B5" w:rsidP="00D751B5">
      <w:pPr>
        <w:pStyle w:val="ListParagraph"/>
        <w:numPr>
          <w:ilvl w:val="0"/>
          <w:numId w:val="4"/>
        </w:numPr>
        <w:rPr>
          <w:lang w:val="en-US"/>
        </w:rPr>
      </w:pPr>
      <w:r>
        <w:rPr>
          <w:lang w:val="en-US"/>
        </w:rPr>
        <w:t xml:space="preserve">Prefix – A string </w:t>
      </w:r>
      <w:r w:rsidR="004F0796">
        <w:rPr>
          <w:lang w:val="en-US"/>
        </w:rPr>
        <w:t xml:space="preserve">concatenated </w:t>
      </w:r>
      <w:r>
        <w:rPr>
          <w:lang w:val="en-US"/>
        </w:rPr>
        <w:t xml:space="preserve">to the </w:t>
      </w:r>
      <w:r w:rsidR="004F0796">
        <w:rPr>
          <w:lang w:val="en-US"/>
        </w:rPr>
        <w:t>front of all input tag names</w:t>
      </w:r>
    </w:p>
    <w:p w14:paraId="2514B0A2" w14:textId="660B10C1" w:rsidR="00D751B5" w:rsidRDefault="00D751B5" w:rsidP="00D751B5">
      <w:pPr>
        <w:pStyle w:val="ListParagraph"/>
        <w:numPr>
          <w:ilvl w:val="0"/>
          <w:numId w:val="4"/>
        </w:numPr>
        <w:rPr>
          <w:lang w:val="en-US"/>
        </w:rPr>
      </w:pPr>
      <w:r>
        <w:rPr>
          <w:lang w:val="en-US"/>
        </w:rPr>
        <w:t xml:space="preserve">Suffix </w:t>
      </w:r>
      <w:r w:rsidR="004F0796">
        <w:rPr>
          <w:lang w:val="en-US"/>
        </w:rPr>
        <w:t>–</w:t>
      </w:r>
      <w:r>
        <w:rPr>
          <w:lang w:val="en-US"/>
        </w:rPr>
        <w:t xml:space="preserve"> </w:t>
      </w:r>
      <w:r w:rsidR="004F0796">
        <w:rPr>
          <w:lang w:val="en-US"/>
        </w:rPr>
        <w:t>A string concatenated to the back of all input tag names</w:t>
      </w:r>
    </w:p>
    <w:p w14:paraId="518E9880" w14:textId="37956BC7" w:rsidR="004F0796" w:rsidRPr="004F0796" w:rsidRDefault="004F0796" w:rsidP="004F0796">
      <w:pPr>
        <w:rPr>
          <w:lang w:val="en-US"/>
        </w:rPr>
      </w:pPr>
      <w:r>
        <w:rPr>
          <w:noProof/>
        </w:rPr>
        <w:drawing>
          <wp:inline distT="0" distB="0" distL="0" distR="0" wp14:anchorId="7A54867C" wp14:editId="0DA06A95">
            <wp:extent cx="5731510" cy="295529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955290"/>
                    </a:xfrm>
                    <a:prstGeom prst="rect">
                      <a:avLst/>
                    </a:prstGeom>
                  </pic:spPr>
                </pic:pic>
              </a:graphicData>
            </a:graphic>
          </wp:inline>
        </w:drawing>
      </w:r>
    </w:p>
    <w:p w14:paraId="4D93D635" w14:textId="77777777" w:rsidR="004F0796" w:rsidRDefault="004F0796" w:rsidP="004F0796">
      <w:pPr>
        <w:rPr>
          <w:lang w:val="en-US"/>
        </w:rPr>
      </w:pPr>
      <w:r>
        <w:rPr>
          <w:lang w:val="en-US"/>
        </w:rPr>
        <w:t xml:space="preserve">Tags are considered available when the data type is supported by the runtime configuration and the tag isn’t already being transferred either to or from the current module. To transfer a tag, select the tag from the available tag list and click the “Move one right” button. Transfer all tags by clicking the “Move all right” button. </w:t>
      </w:r>
    </w:p>
    <w:p w14:paraId="412CFFBE" w14:textId="1BD80B62" w:rsidR="004F0796" w:rsidRDefault="004F0796" w:rsidP="004F0796">
      <w:pPr>
        <w:rPr>
          <w:lang w:val="en-US"/>
        </w:rPr>
      </w:pPr>
      <w:r>
        <w:rPr>
          <w:noProof/>
        </w:rPr>
        <w:lastRenderedPageBreak/>
        <mc:AlternateContent>
          <mc:Choice Requires="wps">
            <w:drawing>
              <wp:anchor distT="0" distB="0" distL="114300" distR="114300" simplePos="0" relativeHeight="251661312" behindDoc="0" locked="0" layoutInCell="1" allowOverlap="1" wp14:anchorId="4A39647A" wp14:editId="5219E124">
                <wp:simplePos x="0" y="0"/>
                <wp:positionH relativeFrom="column">
                  <wp:posOffset>3124200</wp:posOffset>
                </wp:positionH>
                <wp:positionV relativeFrom="paragraph">
                  <wp:posOffset>1381125</wp:posOffset>
                </wp:positionV>
                <wp:extent cx="257175" cy="466725"/>
                <wp:effectExtent l="0" t="0" r="28575" b="28575"/>
                <wp:wrapNone/>
                <wp:docPr id="13" name="Rectangle 13"/>
                <wp:cNvGraphicFramePr/>
                <a:graphic xmlns:a="http://schemas.openxmlformats.org/drawingml/2006/main">
                  <a:graphicData uri="http://schemas.microsoft.com/office/word/2010/wordprocessingShape">
                    <wps:wsp>
                      <wps:cNvSpPr/>
                      <wps:spPr>
                        <a:xfrm>
                          <a:off x="0" y="0"/>
                          <a:ext cx="257175" cy="46672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55DEAE" id="Rectangle 13" o:spid="_x0000_s1026" style="position:absolute;margin-left:246pt;margin-top:108.75pt;width:20.25pt;height:36.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" filled="f" strokecolor="red" strokeweight="1pt"/>
            </w:pict>
          </mc:Fallback>
        </mc:AlternateContent>
      </w:r>
      <w:r>
        <w:rPr>
          <w:noProof/>
        </w:rPr>
        <w:drawing>
          <wp:inline distT="0" distB="0" distL="0" distR="0" wp14:anchorId="5FF16FB4" wp14:editId="39EE9209">
            <wp:extent cx="5731510" cy="295529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955290"/>
                    </a:xfrm>
                    <a:prstGeom prst="rect">
                      <a:avLst/>
                    </a:prstGeom>
                  </pic:spPr>
                </pic:pic>
              </a:graphicData>
            </a:graphic>
          </wp:inline>
        </w:drawing>
      </w:r>
    </w:p>
    <w:p w14:paraId="6EE640D6" w14:textId="46C9442F" w:rsidR="004F0796" w:rsidRDefault="004F0796" w:rsidP="004F0796">
      <w:pPr>
        <w:rPr>
          <w:lang w:val="en-US"/>
        </w:rPr>
      </w:pPr>
      <w:r>
        <w:rPr>
          <w:lang w:val="en-US"/>
        </w:rPr>
        <w:t xml:space="preserve">Remove tags from the list </w:t>
      </w:r>
      <w:r w:rsidR="0000200A">
        <w:rPr>
          <w:lang w:val="en-US"/>
        </w:rPr>
        <w:t>by selecting a tag from the “To External Engine” List and using</w:t>
      </w:r>
      <w:r>
        <w:rPr>
          <w:lang w:val="en-US"/>
        </w:rPr>
        <w:t xml:space="preserve"> the “Move one left” and “Move all left” buttons. </w:t>
      </w:r>
    </w:p>
    <w:p w14:paraId="1567DE0C" w14:textId="0DBE6997" w:rsidR="004F0796" w:rsidRDefault="0000200A" w:rsidP="004F0796">
      <w:pPr>
        <w:rPr>
          <w:lang w:val="en-US"/>
        </w:rPr>
      </w:pPr>
      <w:r>
        <w:rPr>
          <w:noProof/>
        </w:rPr>
        <mc:AlternateContent>
          <mc:Choice Requires="wps">
            <w:drawing>
              <wp:anchor distT="0" distB="0" distL="114300" distR="114300" simplePos="0" relativeHeight="251662336" behindDoc="0" locked="0" layoutInCell="1" allowOverlap="1" wp14:anchorId="6D3B7C16" wp14:editId="0C03ED97">
                <wp:simplePos x="0" y="0"/>
                <wp:positionH relativeFrom="column">
                  <wp:posOffset>3133725</wp:posOffset>
                </wp:positionH>
                <wp:positionV relativeFrom="paragraph">
                  <wp:posOffset>2073275</wp:posOffset>
                </wp:positionV>
                <wp:extent cx="238125" cy="419100"/>
                <wp:effectExtent l="0" t="0" r="28575" b="19050"/>
                <wp:wrapNone/>
                <wp:docPr id="14" name="Rectangle 14"/>
                <wp:cNvGraphicFramePr/>
                <a:graphic xmlns:a="http://schemas.openxmlformats.org/drawingml/2006/main">
                  <a:graphicData uri="http://schemas.microsoft.com/office/word/2010/wordprocessingShape">
                    <wps:wsp>
                      <wps:cNvSpPr/>
                      <wps:spPr>
                        <a:xfrm>
                          <a:off x="0" y="0"/>
                          <a:ext cx="238125" cy="4191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5AD804" id="Rectangle 14" o:spid="_x0000_s1026" style="position:absolute;margin-left:246.75pt;margin-top:163.25pt;width:18.75pt;height:33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" filled="f" strokecolor="red" strokeweight="1pt"/>
            </w:pict>
          </mc:Fallback>
        </mc:AlternateContent>
      </w:r>
      <w:r w:rsidR="004F0796">
        <w:rPr>
          <w:noProof/>
        </w:rPr>
        <w:drawing>
          <wp:inline distT="0" distB="0" distL="0" distR="0" wp14:anchorId="50BC50FB" wp14:editId="41180C57">
            <wp:extent cx="5731510" cy="295529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955290"/>
                    </a:xfrm>
                    <a:prstGeom prst="rect">
                      <a:avLst/>
                    </a:prstGeom>
                  </pic:spPr>
                </pic:pic>
              </a:graphicData>
            </a:graphic>
          </wp:inline>
        </w:drawing>
      </w:r>
    </w:p>
    <w:p w14:paraId="54771C1F" w14:textId="61D41CBE" w:rsidR="0000200A" w:rsidRDefault="0000200A" w:rsidP="004F0796">
      <w:pPr>
        <w:rPr>
          <w:lang w:val="en-US"/>
        </w:rPr>
      </w:pPr>
      <w:r>
        <w:rPr>
          <w:lang w:val="en-US"/>
        </w:rPr>
        <w:t>The tags will now appear in the “From External Engine” list in the paired module.</w:t>
      </w:r>
    </w:p>
    <w:p w14:paraId="215F96FE" w14:textId="363F1790" w:rsidR="0000200A" w:rsidRDefault="0000200A" w:rsidP="004F0796">
      <w:pPr>
        <w:rPr>
          <w:lang w:val="en-US"/>
        </w:rPr>
      </w:pPr>
      <w:r>
        <w:rPr>
          <w:noProof/>
        </w:rPr>
        <w:lastRenderedPageBreak/>
        <mc:AlternateContent>
          <mc:Choice Requires="wps">
            <w:drawing>
              <wp:anchor distT="0" distB="0" distL="114300" distR="114300" simplePos="0" relativeHeight="251664384" behindDoc="0" locked="0" layoutInCell="1" allowOverlap="1" wp14:anchorId="2D77B2F9" wp14:editId="353A2F56">
                <wp:simplePos x="0" y="0"/>
                <wp:positionH relativeFrom="column">
                  <wp:posOffset>4552950</wp:posOffset>
                </wp:positionH>
                <wp:positionV relativeFrom="paragraph">
                  <wp:posOffset>990600</wp:posOffset>
                </wp:positionV>
                <wp:extent cx="1019175" cy="1876425"/>
                <wp:effectExtent l="0" t="0" r="28575" b="28575"/>
                <wp:wrapNone/>
                <wp:docPr id="18" name="Rectangle 18"/>
                <wp:cNvGraphicFramePr/>
                <a:graphic xmlns:a="http://schemas.openxmlformats.org/drawingml/2006/main">
                  <a:graphicData uri="http://schemas.microsoft.com/office/word/2010/wordprocessingShape">
                    <wps:wsp>
                      <wps:cNvSpPr/>
                      <wps:spPr>
                        <a:xfrm>
                          <a:off x="0" y="0"/>
                          <a:ext cx="1019175" cy="187642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428B4C4" id="Rectangle 18" o:spid="_x0000_s1026" style="position:absolute;margin-left:358.5pt;margin-top:78pt;width:80.25pt;height:147.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" filled="f" strokecolor="red" strokeweight="1pt"/>
            </w:pict>
          </mc:Fallback>
        </mc:AlternateContent>
      </w:r>
      <w:r>
        <w:rPr>
          <w:noProof/>
        </w:rPr>
        <w:drawing>
          <wp:inline distT="0" distB="0" distL="0" distR="0" wp14:anchorId="1A17BB62" wp14:editId="6E4C423A">
            <wp:extent cx="5731510" cy="295529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955290"/>
                    </a:xfrm>
                    <a:prstGeom prst="rect">
                      <a:avLst/>
                    </a:prstGeom>
                  </pic:spPr>
                </pic:pic>
              </a:graphicData>
            </a:graphic>
          </wp:inline>
        </w:drawing>
      </w:r>
    </w:p>
    <w:p w14:paraId="0EDBC5A1" w14:textId="5BF81E41" w:rsidR="0000200A" w:rsidRDefault="0000200A" w:rsidP="004F0796">
      <w:pPr>
        <w:rPr>
          <w:lang w:val="en-US"/>
        </w:rPr>
      </w:pPr>
      <w:r>
        <w:rPr>
          <w:lang w:val="en-US"/>
        </w:rPr>
        <w:t xml:space="preserve">Renaming tags corresponding to each input/output channel is not supported because the E2E module uses each tag’s name to sort tags for transfer. Use the “Prefix” and “Suffix” inputs to manage tags coming from an external engine. </w:t>
      </w:r>
    </w:p>
    <w:p w14:paraId="58AD95CE" w14:textId="662BC9FE" w:rsidR="009656FE" w:rsidRDefault="0000200A" w:rsidP="004F0796">
      <w:pPr>
        <w:rPr>
          <w:lang w:val="en-US"/>
        </w:rPr>
      </w:pPr>
      <w:r>
        <w:rPr>
          <w:noProof/>
        </w:rPr>
        <mc:AlternateContent>
          <mc:Choice Requires="wps">
            <w:drawing>
              <wp:anchor distT="0" distB="0" distL="114300" distR="114300" simplePos="0" relativeHeight="251663360" behindDoc="0" locked="0" layoutInCell="1" allowOverlap="1" wp14:anchorId="583782BE" wp14:editId="4140E311">
                <wp:simplePos x="0" y="0"/>
                <wp:positionH relativeFrom="column">
                  <wp:posOffset>4533900</wp:posOffset>
                </wp:positionH>
                <wp:positionV relativeFrom="paragraph">
                  <wp:posOffset>695325</wp:posOffset>
                </wp:positionV>
                <wp:extent cx="1057275" cy="638175"/>
                <wp:effectExtent l="0" t="0" r="28575" b="28575"/>
                <wp:wrapNone/>
                <wp:docPr id="17" name="Rectangle 17"/>
                <wp:cNvGraphicFramePr/>
                <a:graphic xmlns:a="http://schemas.openxmlformats.org/drawingml/2006/main">
                  <a:graphicData uri="http://schemas.microsoft.com/office/word/2010/wordprocessingShape">
                    <wps:wsp>
                      <wps:cNvSpPr/>
                      <wps:spPr>
                        <a:xfrm>
                          <a:off x="0" y="0"/>
                          <a:ext cx="1057275" cy="6381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4874987" id="Rectangle 17" o:spid="_x0000_s1026" style="position:absolute;margin-left:357pt;margin-top:54.75pt;width:83.25pt;height:50.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" filled="f" strokecolor="red" strokeweight="1pt"/>
            </w:pict>
          </mc:Fallback>
        </mc:AlternateContent>
      </w:r>
      <w:r>
        <w:rPr>
          <w:noProof/>
        </w:rPr>
        <w:drawing>
          <wp:inline distT="0" distB="0" distL="0" distR="0" wp14:anchorId="3627E8B1" wp14:editId="139107FA">
            <wp:extent cx="5731510" cy="295529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955290"/>
                    </a:xfrm>
                    <a:prstGeom prst="rect">
                      <a:avLst/>
                    </a:prstGeom>
                  </pic:spPr>
                </pic:pic>
              </a:graphicData>
            </a:graphic>
          </wp:inline>
        </w:drawing>
      </w:r>
    </w:p>
    <w:p w14:paraId="38B3D62A" w14:textId="24F0017E" w:rsidR="0000200A" w:rsidRDefault="009656FE" w:rsidP="004F0796">
      <w:pPr>
        <w:rPr>
          <w:lang w:val="en-US"/>
        </w:rPr>
      </w:pPr>
      <w:r>
        <w:rPr>
          <w:lang w:val="en-US"/>
        </w:rPr>
        <w:br w:type="page"/>
      </w:r>
    </w:p>
    <w:p w14:paraId="070D4411" w14:textId="53E31CA2" w:rsidR="00CD2A54" w:rsidRDefault="00CD2A54" w:rsidP="00CD2A54">
      <w:pPr>
        <w:pStyle w:val="Heading2"/>
        <w:rPr>
          <w:lang w:val="en-US"/>
        </w:rPr>
      </w:pPr>
      <w:r>
        <w:rPr>
          <w:lang w:val="en-US"/>
        </w:rPr>
        <w:lastRenderedPageBreak/>
        <w:t>Editing Transfer Mechanism Specific Configuration</w:t>
      </w:r>
    </w:p>
    <w:p w14:paraId="4ACE6245" w14:textId="24765D96" w:rsidR="00CD2A54" w:rsidRDefault="00CD2A54" w:rsidP="00CD2A54">
      <w:pPr>
        <w:rPr>
          <w:lang w:val="en-US"/>
        </w:rPr>
      </w:pPr>
      <w:r>
        <w:rPr>
          <w:lang w:val="en-US"/>
        </w:rPr>
        <w:t>If a transfer mechanism has specific configuration information, a new tab will be available.</w:t>
      </w:r>
    </w:p>
    <w:p w14:paraId="6BF11516" w14:textId="4C20004D" w:rsidR="00CD2A54" w:rsidRDefault="00CD2A54" w:rsidP="00CD2A54">
      <w:pPr>
        <w:rPr>
          <w:lang w:val="en-US"/>
        </w:rPr>
      </w:pPr>
      <w:r>
        <w:rPr>
          <w:noProof/>
        </w:rPr>
        <mc:AlternateContent>
          <mc:Choice Requires="wps">
            <w:drawing>
              <wp:anchor distT="0" distB="0" distL="114300" distR="114300" simplePos="0" relativeHeight="251666432" behindDoc="0" locked="0" layoutInCell="1" allowOverlap="1" wp14:anchorId="7E1069A5" wp14:editId="41AABD13">
                <wp:simplePos x="0" y="0"/>
                <wp:positionH relativeFrom="column">
                  <wp:posOffset>2390775</wp:posOffset>
                </wp:positionH>
                <wp:positionV relativeFrom="paragraph">
                  <wp:posOffset>485775</wp:posOffset>
                </wp:positionV>
                <wp:extent cx="552450" cy="209550"/>
                <wp:effectExtent l="0" t="0" r="19050" b="19050"/>
                <wp:wrapNone/>
                <wp:docPr id="21" name="Rectangle 21"/>
                <wp:cNvGraphicFramePr/>
                <a:graphic xmlns:a="http://schemas.openxmlformats.org/drawingml/2006/main">
                  <a:graphicData uri="http://schemas.microsoft.com/office/word/2010/wordprocessingShape">
                    <wps:wsp>
                      <wps:cNvSpPr/>
                      <wps:spPr>
                        <a:xfrm>
                          <a:off x="0" y="0"/>
                          <a:ext cx="552450" cy="2095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6681CD" id="Rectangle 21" o:spid="_x0000_s1026" style="position:absolute;margin-left:188.25pt;margin-top:38.25pt;width:43.5pt;height:16.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" filled="f" strokecolor="red" strokeweight="1pt"/>
            </w:pict>
          </mc:Fallback>
        </mc:AlternateContent>
      </w:r>
      <w:r>
        <w:rPr>
          <w:noProof/>
        </w:rPr>
        <mc:AlternateContent>
          <mc:Choice Requires="wps">
            <w:drawing>
              <wp:anchor distT="0" distB="0" distL="114300" distR="114300" simplePos="0" relativeHeight="251665408" behindDoc="0" locked="0" layoutInCell="1" allowOverlap="1" wp14:anchorId="71F791AE" wp14:editId="02BE89B1">
                <wp:simplePos x="0" y="0"/>
                <wp:positionH relativeFrom="column">
                  <wp:posOffset>1619250</wp:posOffset>
                </wp:positionH>
                <wp:positionV relativeFrom="paragraph">
                  <wp:posOffset>1009650</wp:posOffset>
                </wp:positionV>
                <wp:extent cx="1162050" cy="247650"/>
                <wp:effectExtent l="0" t="0" r="19050" b="19050"/>
                <wp:wrapNone/>
                <wp:docPr id="20" name="Rectangle 20"/>
                <wp:cNvGraphicFramePr/>
                <a:graphic xmlns:a="http://schemas.openxmlformats.org/drawingml/2006/main">
                  <a:graphicData uri="http://schemas.microsoft.com/office/word/2010/wordprocessingShape">
                    <wps:wsp>
                      <wps:cNvSpPr/>
                      <wps:spPr>
                        <a:xfrm>
                          <a:off x="0" y="0"/>
                          <a:ext cx="1162050" cy="2476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351377" id="Rectangle 20" o:spid="_x0000_s1026" style="position:absolute;margin-left:127.5pt;margin-top:79.5pt;width:91.5pt;height:19.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" filled="f" strokecolor="red" strokeweight="1pt"/>
            </w:pict>
          </mc:Fallback>
        </mc:AlternateContent>
      </w:r>
      <w:r>
        <w:rPr>
          <w:noProof/>
        </w:rPr>
        <w:drawing>
          <wp:inline distT="0" distB="0" distL="0" distR="0" wp14:anchorId="56C7C306" wp14:editId="07D45B96">
            <wp:extent cx="5731510" cy="295529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955290"/>
                    </a:xfrm>
                    <a:prstGeom prst="rect">
                      <a:avLst/>
                    </a:prstGeom>
                  </pic:spPr>
                </pic:pic>
              </a:graphicData>
            </a:graphic>
          </wp:inline>
        </w:drawing>
      </w:r>
    </w:p>
    <w:p w14:paraId="16D084AE" w14:textId="587EBD62" w:rsidR="00E337A1" w:rsidRPr="00E337A1" w:rsidRDefault="00311604" w:rsidP="00E337A1">
      <w:pPr>
        <w:pStyle w:val="Heading3"/>
        <w:rPr>
          <w:lang w:val="en-US"/>
        </w:rPr>
      </w:pPr>
      <w:r>
        <w:rPr>
          <w:lang w:val="en-US"/>
        </w:rPr>
        <w:t>UDP Configuration</w:t>
      </w:r>
    </w:p>
    <w:p w14:paraId="5EC24756" w14:textId="11343EF5" w:rsidR="00311604" w:rsidRDefault="00311604" w:rsidP="00311604">
      <w:pPr>
        <w:rPr>
          <w:lang w:val="en-US"/>
        </w:rPr>
      </w:pPr>
      <w:r>
        <w:rPr>
          <w:noProof/>
        </w:rPr>
        <w:drawing>
          <wp:inline distT="0" distB="0" distL="0" distR="0" wp14:anchorId="4392BEEB" wp14:editId="2ECC98E9">
            <wp:extent cx="5731510" cy="2955290"/>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955290"/>
                    </a:xfrm>
                    <a:prstGeom prst="rect">
                      <a:avLst/>
                    </a:prstGeom>
                  </pic:spPr>
                </pic:pic>
              </a:graphicData>
            </a:graphic>
          </wp:inline>
        </w:drawing>
      </w:r>
    </w:p>
    <w:p w14:paraId="1C5FF521" w14:textId="1D298D80" w:rsidR="00E337A1" w:rsidRDefault="00E337A1" w:rsidP="00311604">
      <w:pPr>
        <w:rPr>
          <w:lang w:val="en-US"/>
        </w:rPr>
      </w:pPr>
      <w:r>
        <w:rPr>
          <w:lang w:val="en-US"/>
        </w:rPr>
        <w:t>The UDP runtime implementation has the following specific configuration information:</w:t>
      </w:r>
    </w:p>
    <w:p w14:paraId="5E261DBF" w14:textId="371C2AA5" w:rsidR="00E337A1" w:rsidRDefault="00E337A1" w:rsidP="00E337A1">
      <w:pPr>
        <w:pStyle w:val="ListParagraph"/>
        <w:numPr>
          <w:ilvl w:val="0"/>
          <w:numId w:val="6"/>
        </w:numPr>
        <w:rPr>
          <w:lang w:val="en-US"/>
        </w:rPr>
      </w:pPr>
      <w:r>
        <w:rPr>
          <w:lang w:val="en-US"/>
        </w:rPr>
        <w:t>Output Configuration</w:t>
      </w:r>
    </w:p>
    <w:p w14:paraId="4E9CBE67" w14:textId="0E191D1B" w:rsidR="00E337A1" w:rsidRDefault="00E337A1" w:rsidP="00E337A1">
      <w:pPr>
        <w:pStyle w:val="ListParagraph"/>
        <w:numPr>
          <w:ilvl w:val="1"/>
          <w:numId w:val="6"/>
        </w:numPr>
        <w:rPr>
          <w:lang w:val="en-US"/>
        </w:rPr>
      </w:pPr>
      <w:r>
        <w:rPr>
          <w:lang w:val="en-US"/>
        </w:rPr>
        <w:t>Address</w:t>
      </w:r>
      <w:r w:rsidR="00BE153C">
        <w:rPr>
          <w:lang w:val="en-US"/>
        </w:rPr>
        <w:t xml:space="preserve"> – The network address to write to</w:t>
      </w:r>
    </w:p>
    <w:p w14:paraId="4A195C57" w14:textId="09E5E9FA" w:rsidR="00E337A1" w:rsidRDefault="00E337A1" w:rsidP="00E337A1">
      <w:pPr>
        <w:pStyle w:val="ListParagraph"/>
        <w:numPr>
          <w:ilvl w:val="1"/>
          <w:numId w:val="6"/>
        </w:numPr>
        <w:rPr>
          <w:lang w:val="en-US"/>
        </w:rPr>
      </w:pPr>
      <w:r>
        <w:rPr>
          <w:lang w:val="en-US"/>
        </w:rPr>
        <w:t>Remote Port (write to)</w:t>
      </w:r>
      <w:r w:rsidR="00BE153C">
        <w:rPr>
          <w:lang w:val="en-US"/>
        </w:rPr>
        <w:t xml:space="preserve"> - The UDP port to write to</w:t>
      </w:r>
    </w:p>
    <w:p w14:paraId="6DB41826" w14:textId="31B47819" w:rsidR="00E337A1" w:rsidRDefault="00E337A1" w:rsidP="00E337A1">
      <w:pPr>
        <w:pStyle w:val="ListParagraph"/>
        <w:numPr>
          <w:ilvl w:val="1"/>
          <w:numId w:val="6"/>
        </w:numPr>
        <w:rPr>
          <w:lang w:val="en-US"/>
        </w:rPr>
      </w:pPr>
      <w:r>
        <w:rPr>
          <w:lang w:val="en-US"/>
        </w:rPr>
        <w:t>Local Port (write from)</w:t>
      </w:r>
      <w:r w:rsidR="00BE153C">
        <w:rPr>
          <w:lang w:val="en-US"/>
        </w:rPr>
        <w:t xml:space="preserve"> – The UDP port to write from</w:t>
      </w:r>
    </w:p>
    <w:p w14:paraId="1D6071B9" w14:textId="16581624" w:rsidR="00E337A1" w:rsidRDefault="00E337A1" w:rsidP="00E337A1">
      <w:pPr>
        <w:pStyle w:val="ListParagraph"/>
        <w:numPr>
          <w:ilvl w:val="0"/>
          <w:numId w:val="6"/>
        </w:numPr>
        <w:rPr>
          <w:lang w:val="en-US"/>
        </w:rPr>
      </w:pPr>
      <w:r>
        <w:rPr>
          <w:lang w:val="en-US"/>
        </w:rPr>
        <w:t>Input Configuration</w:t>
      </w:r>
    </w:p>
    <w:p w14:paraId="4C561761" w14:textId="0F628F90" w:rsidR="00E337A1" w:rsidRDefault="00E337A1" w:rsidP="00E337A1">
      <w:pPr>
        <w:pStyle w:val="ListParagraph"/>
        <w:numPr>
          <w:ilvl w:val="1"/>
          <w:numId w:val="6"/>
        </w:numPr>
        <w:rPr>
          <w:lang w:val="en-US"/>
        </w:rPr>
      </w:pPr>
      <w:r>
        <w:rPr>
          <w:lang w:val="en-US"/>
        </w:rPr>
        <w:t>Address</w:t>
      </w:r>
      <w:r w:rsidR="00BE153C">
        <w:rPr>
          <w:lang w:val="en-US"/>
        </w:rPr>
        <w:t xml:space="preserve"> – Always localhost</w:t>
      </w:r>
    </w:p>
    <w:p w14:paraId="29D91FFB" w14:textId="0F8727B8" w:rsidR="00E337A1" w:rsidRDefault="00E337A1" w:rsidP="00E337A1">
      <w:pPr>
        <w:pStyle w:val="ListParagraph"/>
        <w:numPr>
          <w:ilvl w:val="1"/>
          <w:numId w:val="6"/>
        </w:numPr>
        <w:rPr>
          <w:lang w:val="en-US"/>
        </w:rPr>
      </w:pPr>
      <w:r>
        <w:rPr>
          <w:lang w:val="en-US"/>
        </w:rPr>
        <w:t>Local Port (read from)</w:t>
      </w:r>
      <w:r w:rsidR="00BE153C">
        <w:rPr>
          <w:lang w:val="en-US"/>
        </w:rPr>
        <w:t xml:space="preserve"> – The UDP port to read from</w:t>
      </w:r>
    </w:p>
    <w:p w14:paraId="10F4A113" w14:textId="65960B3F" w:rsidR="00E337A1" w:rsidRDefault="00E337A1" w:rsidP="00E337A1">
      <w:pPr>
        <w:pStyle w:val="ListParagraph"/>
        <w:numPr>
          <w:ilvl w:val="1"/>
          <w:numId w:val="6"/>
        </w:numPr>
        <w:rPr>
          <w:lang w:val="en-US"/>
        </w:rPr>
      </w:pPr>
      <w:r>
        <w:rPr>
          <w:lang w:val="en-US"/>
        </w:rPr>
        <w:t>Last Update Tag?</w:t>
      </w:r>
      <w:r w:rsidR="00BE153C">
        <w:rPr>
          <w:lang w:val="en-US"/>
        </w:rPr>
        <w:t xml:space="preserve"> – If selected a channel of type double will be created. Use the corresponding </w:t>
      </w:r>
      <w:r w:rsidR="00A010A6">
        <w:rPr>
          <w:lang w:val="en-US"/>
        </w:rPr>
        <w:t>drop-down</w:t>
      </w:r>
      <w:r w:rsidR="00BE153C">
        <w:rPr>
          <w:lang w:val="en-US"/>
        </w:rPr>
        <w:t xml:space="preserve"> selector to map a tag to the channel. The channel </w:t>
      </w:r>
      <w:r w:rsidR="00BE153C">
        <w:rPr>
          <w:lang w:val="en-US"/>
        </w:rPr>
        <w:lastRenderedPageBreak/>
        <w:t xml:space="preserve">contains a timestamp with the last successful read time. </w:t>
      </w:r>
      <w:r w:rsidR="00A010A6">
        <w:rPr>
          <w:lang w:val="en-US"/>
        </w:rPr>
        <w:t>The generate button will create and map a tag to the channel</w:t>
      </w:r>
    </w:p>
    <w:p w14:paraId="086AB9E9" w14:textId="5A61FD45" w:rsidR="00E337A1" w:rsidRDefault="00E337A1" w:rsidP="00E337A1">
      <w:pPr>
        <w:pStyle w:val="ListParagraph"/>
        <w:numPr>
          <w:ilvl w:val="1"/>
          <w:numId w:val="6"/>
        </w:numPr>
        <w:rPr>
          <w:lang w:val="en-US"/>
        </w:rPr>
      </w:pPr>
      <w:r>
        <w:rPr>
          <w:lang w:val="en-US"/>
        </w:rPr>
        <w:t>Estimated Total Array/String Size (bytes)</w:t>
      </w:r>
      <w:r w:rsidR="00A010A6">
        <w:rPr>
          <w:lang w:val="en-US"/>
        </w:rPr>
        <w:t xml:space="preserve"> – This input will be available if the tags from the external engine contain data types of dynamic sizes (Strings and Arrays). The UDP runtime component will attempt to read a packet from the input port with a max size determined by the size of the statically sized tags, the packet he</w:t>
      </w:r>
      <w:r w:rsidR="00102CF2">
        <w:rPr>
          <w:lang w:val="en-US"/>
        </w:rPr>
        <w:t>ader</w:t>
      </w:r>
      <w:r w:rsidR="00A010A6">
        <w:rPr>
          <w:lang w:val="en-US"/>
        </w:rPr>
        <w:t xml:space="preserve">, and the value contained in this input plus </w:t>
      </w:r>
      <w:r w:rsidR="00102CF2">
        <w:rPr>
          <w:lang w:val="en-US"/>
        </w:rPr>
        <w:t>a small buffer</w:t>
      </w:r>
    </w:p>
    <w:p w14:paraId="7C3E2A76" w14:textId="77777777" w:rsidR="00DF3DCE" w:rsidRDefault="00DF3DCE" w:rsidP="00DF3DCE">
      <w:pPr>
        <w:pStyle w:val="ListParagraph"/>
        <w:ind w:left="1440"/>
        <w:rPr>
          <w:lang w:val="en-US"/>
        </w:rPr>
      </w:pPr>
    </w:p>
    <w:p w14:paraId="1AADC736" w14:textId="77EFEE5E" w:rsidR="00A010A6" w:rsidRDefault="00A010A6" w:rsidP="00A010A6">
      <w:pPr>
        <w:pStyle w:val="ListParagraph"/>
        <w:ind w:left="1440"/>
        <w:rPr>
          <w:lang w:val="en-US"/>
        </w:rPr>
      </w:pPr>
      <w:r>
        <w:rPr>
          <w:noProof/>
        </w:rPr>
        <w:drawing>
          <wp:inline distT="0" distB="0" distL="0" distR="0" wp14:anchorId="64948660" wp14:editId="30F3F0DC">
            <wp:extent cx="3952875" cy="225742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52875" cy="2257425"/>
                    </a:xfrm>
                    <a:prstGeom prst="rect">
                      <a:avLst/>
                    </a:prstGeom>
                  </pic:spPr>
                </pic:pic>
              </a:graphicData>
            </a:graphic>
          </wp:inline>
        </w:drawing>
      </w:r>
    </w:p>
    <w:p w14:paraId="4A9895F1" w14:textId="77777777" w:rsidR="00DF3DCE" w:rsidRDefault="00DF3DCE" w:rsidP="00A010A6">
      <w:pPr>
        <w:pStyle w:val="ListParagraph"/>
        <w:ind w:left="1440"/>
        <w:rPr>
          <w:lang w:val="en-US"/>
        </w:rPr>
      </w:pPr>
    </w:p>
    <w:p w14:paraId="78F8F5AB" w14:textId="70B90AF7" w:rsidR="00E337A1" w:rsidRDefault="00E337A1" w:rsidP="00E337A1">
      <w:pPr>
        <w:pStyle w:val="ListParagraph"/>
        <w:numPr>
          <w:ilvl w:val="0"/>
          <w:numId w:val="6"/>
        </w:numPr>
        <w:rPr>
          <w:lang w:val="en-US"/>
        </w:rPr>
      </w:pPr>
      <w:r>
        <w:rPr>
          <w:lang w:val="en-US"/>
        </w:rPr>
        <w:t>Estimated Output Packet Size (bytes)</w:t>
      </w:r>
      <w:r w:rsidR="00DF3DCE">
        <w:rPr>
          <w:lang w:val="en-US"/>
        </w:rPr>
        <w:t xml:space="preserve"> </w:t>
      </w:r>
      <w:r w:rsidR="004925AE">
        <w:rPr>
          <w:lang w:val="en-US"/>
        </w:rPr>
        <w:t>–</w:t>
      </w:r>
      <w:r w:rsidR="00DF3DCE">
        <w:rPr>
          <w:lang w:val="en-US"/>
        </w:rPr>
        <w:t xml:space="preserve"> </w:t>
      </w:r>
      <w:r w:rsidR="004925AE">
        <w:rPr>
          <w:lang w:val="en-US"/>
        </w:rPr>
        <w:t>The combined size, in bytes, of all output tags with statically sized data types plus the output header</w:t>
      </w:r>
    </w:p>
    <w:p w14:paraId="23B23132" w14:textId="5061F8E0" w:rsidR="009656FE" w:rsidRDefault="00E337A1" w:rsidP="00E337A1">
      <w:pPr>
        <w:pStyle w:val="ListParagraph"/>
        <w:numPr>
          <w:ilvl w:val="0"/>
          <w:numId w:val="6"/>
        </w:numPr>
        <w:rPr>
          <w:lang w:val="en-US"/>
        </w:rPr>
      </w:pPr>
      <w:r>
        <w:rPr>
          <w:lang w:val="en-US"/>
        </w:rPr>
        <w:t>Estimated Input Packet Size (bytes)</w:t>
      </w:r>
      <w:r w:rsidR="004925AE">
        <w:rPr>
          <w:lang w:val="en-US"/>
        </w:rPr>
        <w:t xml:space="preserve"> – The combined size, in bytes, of all input tags with statically sized data types, plus the input header, plus the value in the Estimated Total Array/String Size (bytes) field</w:t>
      </w:r>
    </w:p>
    <w:p w14:paraId="1A9B3C38" w14:textId="167D5AE6" w:rsidR="00E337A1" w:rsidRPr="009656FE" w:rsidRDefault="009656FE" w:rsidP="009656FE">
      <w:pPr>
        <w:rPr>
          <w:lang w:val="en-US"/>
        </w:rPr>
      </w:pPr>
      <w:r>
        <w:rPr>
          <w:lang w:val="en-US"/>
        </w:rPr>
        <w:br w:type="page"/>
      </w:r>
    </w:p>
    <w:p w14:paraId="3F0AFE6A" w14:textId="6563E348" w:rsidR="00E41637" w:rsidRDefault="00E41637" w:rsidP="002008EF">
      <w:pPr>
        <w:pStyle w:val="Heading1"/>
        <w:rPr>
          <w:lang w:val="en-US"/>
        </w:rPr>
      </w:pPr>
      <w:r>
        <w:rPr>
          <w:lang w:val="en-US"/>
        </w:rPr>
        <w:lastRenderedPageBreak/>
        <w:t>Modifying the Plug-in</w:t>
      </w:r>
    </w:p>
    <w:p w14:paraId="01A62DC4" w14:textId="6C554DD6" w:rsidR="00E41637" w:rsidRDefault="00944935" w:rsidP="00E41637">
      <w:pPr>
        <w:pStyle w:val="Heading2"/>
        <w:rPr>
          <w:lang w:val="en-US"/>
        </w:rPr>
      </w:pPr>
      <w:r>
        <w:rPr>
          <w:lang w:val="en-US"/>
        </w:rPr>
        <w:t>Editing the Source</w:t>
      </w:r>
    </w:p>
    <w:p w14:paraId="1F9803E7" w14:textId="0A5622D2" w:rsidR="00944935" w:rsidRDefault="00944935" w:rsidP="00944935">
      <w:pPr>
        <w:rPr>
          <w:lang w:val="en-US"/>
        </w:rPr>
      </w:pPr>
      <w:r>
        <w:rPr>
          <w:lang w:val="en-US"/>
        </w:rPr>
        <w:t>When the E2E module is installed, all compiled files are place in vi.lib for your selected version of LabVIEW (&lt;Program Files&gt;\&lt;LabVIEW&gt;\vi.lib\</w:t>
      </w:r>
      <w:r w:rsidRPr="00944935">
        <w:rPr>
          <w:lang w:val="en-US"/>
        </w:rPr>
        <w:t xml:space="preserve">Data Ahead </w:t>
      </w:r>
      <w:r w:rsidR="00DE4E88">
        <w:rPr>
          <w:lang w:val="en-US"/>
        </w:rPr>
        <w:t>AG</w:t>
      </w:r>
      <w:r w:rsidRPr="00944935">
        <w:rPr>
          <w:lang w:val="en-US"/>
        </w:rPr>
        <w:t>\DCAF\E2E Tag Exchange Module</w:t>
      </w:r>
      <w:r>
        <w:rPr>
          <w:lang w:val="en-US"/>
        </w:rPr>
        <w:t>). These installed files should not be modified in vi.lib without consideration. The recommended method for editing the module is as follows:</w:t>
      </w:r>
    </w:p>
    <w:p w14:paraId="6F252092" w14:textId="68B065FD" w:rsidR="00944935" w:rsidRDefault="00944935" w:rsidP="00944935">
      <w:pPr>
        <w:pStyle w:val="ListParagraph"/>
        <w:numPr>
          <w:ilvl w:val="0"/>
          <w:numId w:val="1"/>
        </w:numPr>
        <w:rPr>
          <w:lang w:val="en-US"/>
        </w:rPr>
      </w:pPr>
      <w:r>
        <w:rPr>
          <w:lang w:val="en-US"/>
        </w:rPr>
        <w:t xml:space="preserve">Uninstall the compiled E2E Module </w:t>
      </w:r>
      <w:r w:rsidR="00A72CB6">
        <w:rPr>
          <w:lang w:val="en-US"/>
        </w:rPr>
        <w:t>using VI Package Manager</w:t>
      </w:r>
    </w:p>
    <w:p w14:paraId="52459258" w14:textId="55C3F9FE" w:rsidR="00A72CB6" w:rsidRDefault="00A72CB6" w:rsidP="00A72CB6">
      <w:pPr>
        <w:pStyle w:val="ListParagraph"/>
        <w:numPr>
          <w:ilvl w:val="0"/>
          <w:numId w:val="1"/>
        </w:numPr>
        <w:rPr>
          <w:lang w:val="en-US"/>
        </w:rPr>
      </w:pPr>
      <w:r>
        <w:rPr>
          <w:lang w:val="en-US"/>
        </w:rPr>
        <w:t xml:space="preserve">Fork or Clone the source from GitHub: </w:t>
      </w:r>
      <w:hyperlink r:id="rId20" w:history="1">
        <w:r w:rsidRPr="002D5E5A">
          <w:rPr>
            <w:rStyle w:val="Hyperlink"/>
            <w:lang w:val="en-US"/>
          </w:rPr>
          <w:t>https://github.com/LabVIEW-DCAF/E2E</w:t>
        </w:r>
      </w:hyperlink>
    </w:p>
    <w:p w14:paraId="5A5A5FDC" w14:textId="11F8AE3F" w:rsidR="00A72CB6" w:rsidRDefault="00A72CB6" w:rsidP="00A72CB6">
      <w:pPr>
        <w:pStyle w:val="ListParagraph"/>
        <w:numPr>
          <w:ilvl w:val="0"/>
          <w:numId w:val="1"/>
        </w:numPr>
        <w:rPr>
          <w:lang w:val="en-US"/>
        </w:rPr>
      </w:pPr>
      <w:r>
        <w:rPr>
          <w:lang w:val="en-US"/>
        </w:rPr>
        <w:t>Modify the source</w:t>
      </w:r>
    </w:p>
    <w:p w14:paraId="5A2313B0" w14:textId="07C96F6A" w:rsidR="00A72CB6" w:rsidRDefault="00A72CB6" w:rsidP="00A72CB6">
      <w:pPr>
        <w:pStyle w:val="ListParagraph"/>
        <w:numPr>
          <w:ilvl w:val="0"/>
          <w:numId w:val="1"/>
        </w:numPr>
        <w:rPr>
          <w:lang w:val="en-US"/>
        </w:rPr>
      </w:pPr>
      <w:r>
        <w:rPr>
          <w:lang w:val="en-US"/>
        </w:rPr>
        <w:t>(Optional) Add the intended modifications to the issue tracker and create a Pull Request on GitHub if you want to contribute the changes back to the community</w:t>
      </w:r>
    </w:p>
    <w:p w14:paraId="7810471B" w14:textId="140E1634" w:rsidR="00A72CB6" w:rsidRPr="00944935" w:rsidRDefault="00A72CB6" w:rsidP="00A72CB6">
      <w:pPr>
        <w:pStyle w:val="ListParagraph"/>
        <w:numPr>
          <w:ilvl w:val="0"/>
          <w:numId w:val="1"/>
        </w:numPr>
        <w:rPr>
          <w:lang w:val="en-US"/>
        </w:rPr>
      </w:pPr>
      <w:r>
        <w:rPr>
          <w:lang w:val="en-US"/>
        </w:rPr>
        <w:t>Either add the source directory to the Standard Configuration Editor search paths or build and install a new VI Package using the VI Package Build Specification contained in the source</w:t>
      </w:r>
    </w:p>
    <w:p w14:paraId="648F44AD" w14:textId="22B0035A" w:rsidR="009656FE" w:rsidRDefault="00E41637" w:rsidP="00DC6934">
      <w:pPr>
        <w:pStyle w:val="Heading2"/>
        <w:rPr>
          <w:lang w:val="en-US"/>
        </w:rPr>
      </w:pPr>
      <w:r>
        <w:rPr>
          <w:lang w:val="en-US"/>
        </w:rPr>
        <w:t>Adding Additional Transfer Mechanisms</w:t>
      </w:r>
    </w:p>
    <w:p w14:paraId="557D643E" w14:textId="042911F1" w:rsidR="006036DD" w:rsidRDefault="00DC6934" w:rsidP="00DC6934">
      <w:pPr>
        <w:rPr>
          <w:lang w:val="en-US"/>
        </w:rPr>
      </w:pPr>
      <w:r>
        <w:rPr>
          <w:lang w:val="en-US"/>
        </w:rPr>
        <w:t xml:space="preserve">The E2E Tag Exchange Module was designed to allow for additional transfer mechanisms to be implemented. The E2E module uses case structures wired to the “Runtime </w:t>
      </w:r>
      <w:proofErr w:type="spellStart"/>
      <w:r>
        <w:rPr>
          <w:lang w:val="en-US"/>
        </w:rPr>
        <w:t>Implementation.ctl</w:t>
      </w:r>
      <w:proofErr w:type="spellEnd"/>
      <w:r>
        <w:rPr>
          <w:lang w:val="en-US"/>
        </w:rPr>
        <w:t xml:space="preserve">” type definition without a “Default” case to force the developer to override necessary functionality. After overriding all necessary behavior for the configuration and editor components of the E2E module, the runtime component of the new transfer mechanism needs to be developed. </w:t>
      </w:r>
      <w:r w:rsidR="009455BE">
        <w:rPr>
          <w:lang w:val="en-US"/>
        </w:rPr>
        <w:t>VIs requiring modification will typically be found in virtual folders named “Customize” in the LabVIEW project explorer.</w:t>
      </w:r>
    </w:p>
    <w:p w14:paraId="36A2096B" w14:textId="77777777" w:rsidR="006036DD" w:rsidRDefault="006036DD">
      <w:pPr>
        <w:rPr>
          <w:lang w:val="en-US"/>
        </w:rPr>
      </w:pPr>
      <w:r>
        <w:rPr>
          <w:lang w:val="en-US"/>
        </w:rPr>
        <w:br w:type="page"/>
      </w:r>
    </w:p>
    <w:p w14:paraId="372AE893" w14:textId="77777777" w:rsidR="00DC6934" w:rsidRPr="00DC6934" w:rsidRDefault="00DC6934" w:rsidP="00DC6934">
      <w:pPr>
        <w:rPr>
          <w:lang w:val="en-US"/>
        </w:rPr>
      </w:pPr>
    </w:p>
    <w:p w14:paraId="60BB1EBA" w14:textId="4E44A48C" w:rsidR="00DC6934" w:rsidRDefault="00DC6934" w:rsidP="00DC6934">
      <w:pPr>
        <w:pStyle w:val="Heading3"/>
        <w:rPr>
          <w:lang w:val="en-US"/>
        </w:rPr>
      </w:pPr>
      <w:r>
        <w:rPr>
          <w:lang w:val="en-US"/>
        </w:rPr>
        <w:t xml:space="preserve">1. Modify E2E Tag Exchange </w:t>
      </w:r>
      <w:proofErr w:type="spellStart"/>
      <w:proofErr w:type="gramStart"/>
      <w:r>
        <w:rPr>
          <w:lang w:val="en-US"/>
        </w:rPr>
        <w:t>configuration.lvclass</w:t>
      </w:r>
      <w:proofErr w:type="spellEnd"/>
      <w:proofErr w:type="gramEnd"/>
    </w:p>
    <w:p w14:paraId="6C80C26F" w14:textId="21409DEB" w:rsidR="00DC6934" w:rsidRDefault="009455BE" w:rsidP="00DC6934">
      <w:pPr>
        <w:rPr>
          <w:lang w:val="en-US"/>
        </w:rPr>
      </w:pPr>
      <w:r>
        <w:rPr>
          <w:lang w:val="en-US"/>
        </w:rPr>
        <w:t xml:space="preserve">Begin by adding the name of the new transfer mechanism to the “Runtime </w:t>
      </w:r>
      <w:proofErr w:type="spellStart"/>
      <w:r>
        <w:rPr>
          <w:lang w:val="en-US"/>
        </w:rPr>
        <w:t>Implementation.ctl</w:t>
      </w:r>
      <w:proofErr w:type="spellEnd"/>
      <w:r>
        <w:rPr>
          <w:lang w:val="en-US"/>
        </w:rPr>
        <w:t>” type definition.</w:t>
      </w:r>
    </w:p>
    <w:p w14:paraId="46F707A1" w14:textId="771C8484" w:rsidR="009455BE" w:rsidRPr="00DC6934" w:rsidRDefault="009455BE" w:rsidP="009455BE">
      <w:pPr>
        <w:jc w:val="center"/>
        <w:rPr>
          <w:lang w:val="en-US"/>
        </w:rPr>
      </w:pPr>
      <w:r>
        <w:rPr>
          <w:noProof/>
        </w:rPr>
        <w:drawing>
          <wp:inline distT="0" distB="0" distL="0" distR="0" wp14:anchorId="1C14BE7B" wp14:editId="62DC3858">
            <wp:extent cx="3562350" cy="41338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62350" cy="4133850"/>
                    </a:xfrm>
                    <a:prstGeom prst="rect">
                      <a:avLst/>
                    </a:prstGeom>
                  </pic:spPr>
                </pic:pic>
              </a:graphicData>
            </a:graphic>
          </wp:inline>
        </w:drawing>
      </w:r>
    </w:p>
    <w:p w14:paraId="627CD348" w14:textId="487EE3DC" w:rsidR="00E41637" w:rsidRDefault="009455BE" w:rsidP="00E41637">
      <w:pPr>
        <w:rPr>
          <w:lang w:val="en-US"/>
        </w:rPr>
      </w:pPr>
      <w:r>
        <w:rPr>
          <w:lang w:val="en-US"/>
        </w:rPr>
        <w:t>After applying changes to the type definition</w:t>
      </w:r>
      <w:r w:rsidR="006036DD">
        <w:rPr>
          <w:lang w:val="en-US"/>
        </w:rPr>
        <w:t xml:space="preserve">, the following configuration class methods need to be edited: </w:t>
      </w:r>
    </w:p>
    <w:p w14:paraId="46F845B0" w14:textId="3D9657D1" w:rsidR="006036DD" w:rsidRDefault="006036DD" w:rsidP="00E41637">
      <w:pPr>
        <w:rPr>
          <w:lang w:val="en-US"/>
        </w:rPr>
      </w:pPr>
    </w:p>
    <w:p w14:paraId="4BB3AF76" w14:textId="0E23456A" w:rsidR="006036DD" w:rsidRDefault="006036DD" w:rsidP="00A528F1">
      <w:pPr>
        <w:jc w:val="center"/>
        <w:rPr>
          <w:lang w:val="en-US"/>
        </w:rPr>
      </w:pPr>
      <w:r>
        <w:rPr>
          <w:noProof/>
        </w:rPr>
        <w:drawing>
          <wp:inline distT="0" distB="0" distL="0" distR="0" wp14:anchorId="14515A87" wp14:editId="100ABC65">
            <wp:extent cx="4752975" cy="60960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52975" cy="609600"/>
                    </a:xfrm>
                    <a:prstGeom prst="rect">
                      <a:avLst/>
                    </a:prstGeom>
                  </pic:spPr>
                </pic:pic>
              </a:graphicData>
            </a:graphic>
          </wp:inline>
        </w:drawing>
      </w:r>
    </w:p>
    <w:p w14:paraId="7A2AA615" w14:textId="6FA07C1A" w:rsidR="00A528F1" w:rsidRDefault="00A528F1" w:rsidP="00A528F1">
      <w:pPr>
        <w:jc w:val="center"/>
        <w:rPr>
          <w:b/>
          <w:lang w:val="en-US"/>
        </w:rPr>
      </w:pPr>
      <w:r>
        <w:rPr>
          <w:b/>
          <w:lang w:val="en-US"/>
        </w:rPr>
        <w:t>get</w:t>
      </w:r>
      <w:r w:rsidRPr="00A528F1">
        <w:rPr>
          <w:b/>
          <w:lang w:val="en-US"/>
        </w:rPr>
        <w:t xml:space="preserve"> supported types.vi</w:t>
      </w:r>
    </w:p>
    <w:p w14:paraId="79ACB69E" w14:textId="62248B1C" w:rsidR="00A528F1" w:rsidRDefault="00A528F1" w:rsidP="00A528F1">
      <w:pPr>
        <w:rPr>
          <w:lang w:val="en-US"/>
        </w:rPr>
      </w:pPr>
      <w:r>
        <w:rPr>
          <w:lang w:val="en-US"/>
        </w:rPr>
        <w:t>Provides an array of the data types that is supported by the current runtime implementation.</w:t>
      </w:r>
    </w:p>
    <w:p w14:paraId="0EBDF943" w14:textId="0027CD25" w:rsidR="00A528F1" w:rsidRDefault="00A528F1" w:rsidP="00A528F1">
      <w:pPr>
        <w:jc w:val="center"/>
        <w:rPr>
          <w:lang w:val="en-US"/>
        </w:rPr>
      </w:pPr>
      <w:r>
        <w:rPr>
          <w:noProof/>
        </w:rPr>
        <w:drawing>
          <wp:inline distT="0" distB="0" distL="0" distR="0" wp14:anchorId="16610DD4" wp14:editId="245C36AA">
            <wp:extent cx="3762375" cy="61912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762375" cy="619125"/>
                    </a:xfrm>
                    <a:prstGeom prst="rect">
                      <a:avLst/>
                    </a:prstGeom>
                  </pic:spPr>
                </pic:pic>
              </a:graphicData>
            </a:graphic>
          </wp:inline>
        </w:drawing>
      </w:r>
    </w:p>
    <w:p w14:paraId="11F5A7F6" w14:textId="71463642" w:rsidR="00A528F1" w:rsidRDefault="00A528F1" w:rsidP="00A528F1">
      <w:pPr>
        <w:jc w:val="center"/>
        <w:rPr>
          <w:b/>
          <w:lang w:val="en-US"/>
        </w:rPr>
      </w:pPr>
      <w:r w:rsidRPr="00A528F1">
        <w:rPr>
          <w:b/>
          <w:lang w:val="en-US"/>
        </w:rPr>
        <w:t>instance count allowed.vi</w:t>
      </w:r>
    </w:p>
    <w:p w14:paraId="2D9C8866" w14:textId="556DB96E" w:rsidR="00A528F1" w:rsidRDefault="00A528F1" w:rsidP="00A528F1">
      <w:pPr>
        <w:rPr>
          <w:lang w:val="en-US"/>
        </w:rPr>
      </w:pPr>
      <w:r>
        <w:rPr>
          <w:lang w:val="en-US"/>
        </w:rPr>
        <w:t>Provides the number of module instances allowed per engine based on the current runtime implementation. -1 corresponds to unlimited instances.</w:t>
      </w:r>
    </w:p>
    <w:p w14:paraId="6D6F869A" w14:textId="4704192A" w:rsidR="00A528F1" w:rsidRDefault="00A528F1" w:rsidP="00A528F1">
      <w:pPr>
        <w:jc w:val="center"/>
        <w:rPr>
          <w:lang w:val="en-US"/>
        </w:rPr>
      </w:pPr>
      <w:r>
        <w:rPr>
          <w:noProof/>
        </w:rPr>
        <w:lastRenderedPageBreak/>
        <w:drawing>
          <wp:inline distT="0" distB="0" distL="0" distR="0" wp14:anchorId="4B9871FF" wp14:editId="325A232C">
            <wp:extent cx="3962400" cy="61912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962400" cy="619125"/>
                    </a:xfrm>
                    <a:prstGeom prst="rect">
                      <a:avLst/>
                    </a:prstGeom>
                  </pic:spPr>
                </pic:pic>
              </a:graphicData>
            </a:graphic>
          </wp:inline>
        </w:drawing>
      </w:r>
    </w:p>
    <w:p w14:paraId="0346335B" w14:textId="25985235" w:rsidR="00A528F1" w:rsidRDefault="00A528F1" w:rsidP="00A528F1">
      <w:pPr>
        <w:jc w:val="center"/>
        <w:rPr>
          <w:b/>
          <w:lang w:val="en-US"/>
        </w:rPr>
      </w:pPr>
      <w:r>
        <w:rPr>
          <w:b/>
          <w:lang w:val="en-US"/>
        </w:rPr>
        <w:t>Read Allowable Pairing Distances.vi</w:t>
      </w:r>
    </w:p>
    <w:p w14:paraId="5F968FD9" w14:textId="162957BF" w:rsidR="00A528F1" w:rsidRDefault="00A528F1" w:rsidP="00A528F1">
      <w:pPr>
        <w:rPr>
          <w:lang w:val="en-US"/>
        </w:rPr>
      </w:pPr>
      <w:r>
        <w:rPr>
          <w:lang w:val="en-US"/>
        </w:rPr>
        <w:t>Provides an array of the pairing distances that are supported by the current runtime implementation. Acceptable values for each array element are 0, 1, and 2. 0 is an E2E module in the same engine, 1 is an E2E module in a different engine in the same target, and 2 is an E2E module in a different engine in a different target.</w:t>
      </w:r>
    </w:p>
    <w:p w14:paraId="4B17EB2A" w14:textId="161B5F79" w:rsidR="00A528F1" w:rsidRDefault="00A528F1" w:rsidP="00A528F1">
      <w:pPr>
        <w:jc w:val="center"/>
        <w:rPr>
          <w:lang w:val="en-US"/>
        </w:rPr>
      </w:pPr>
      <w:r>
        <w:rPr>
          <w:noProof/>
        </w:rPr>
        <w:drawing>
          <wp:inline distT="0" distB="0" distL="0" distR="0" wp14:anchorId="7E2B16F2" wp14:editId="561C48A2">
            <wp:extent cx="3676650" cy="46672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676650" cy="466725"/>
                    </a:xfrm>
                    <a:prstGeom prst="rect">
                      <a:avLst/>
                    </a:prstGeom>
                  </pic:spPr>
                </pic:pic>
              </a:graphicData>
            </a:graphic>
          </wp:inline>
        </w:drawing>
      </w:r>
    </w:p>
    <w:p w14:paraId="332A58A9" w14:textId="5F6D1861" w:rsidR="00A528F1" w:rsidRDefault="00A528F1" w:rsidP="00A528F1">
      <w:pPr>
        <w:jc w:val="center"/>
        <w:rPr>
          <w:b/>
          <w:lang w:val="en-US"/>
        </w:rPr>
      </w:pPr>
      <w:r w:rsidRPr="00A528F1">
        <w:rPr>
          <w:b/>
          <w:lang w:val="en-US"/>
        </w:rPr>
        <w:t>get channels.vi</w:t>
      </w:r>
    </w:p>
    <w:p w14:paraId="774D2484" w14:textId="0E0A3167" w:rsidR="00A528F1" w:rsidRDefault="00A528F1" w:rsidP="00A528F1">
      <w:pPr>
        <w:rPr>
          <w:lang w:val="en-US"/>
        </w:rPr>
      </w:pPr>
      <w:r>
        <w:rPr>
          <w:lang w:val="en-US"/>
        </w:rPr>
        <w:t>Returns an array of channels currently configured by the module. If your runtime implementation supports additional channels besides the tag exchange channels, add them here. See the UDP implementation for an example.</w:t>
      </w:r>
      <w:r w:rsidR="007511F0">
        <w:rPr>
          <w:lang w:val="en-US"/>
        </w:rPr>
        <w:t xml:space="preserve"> Do not add any additional input or output channels as the channel sorting and tag exchange between modules may be incorrect.   </w:t>
      </w:r>
    </w:p>
    <w:p w14:paraId="194F9C41" w14:textId="4B15814A" w:rsidR="000E7F78" w:rsidRDefault="000E7F78" w:rsidP="000E7F78">
      <w:pPr>
        <w:jc w:val="center"/>
        <w:rPr>
          <w:lang w:val="en-US"/>
        </w:rPr>
      </w:pPr>
      <w:r>
        <w:rPr>
          <w:noProof/>
        </w:rPr>
        <w:drawing>
          <wp:inline distT="0" distB="0" distL="0" distR="0" wp14:anchorId="43AC729A" wp14:editId="49B54B45">
            <wp:extent cx="3600450" cy="50482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600450" cy="504825"/>
                    </a:xfrm>
                    <a:prstGeom prst="rect">
                      <a:avLst/>
                    </a:prstGeom>
                  </pic:spPr>
                </pic:pic>
              </a:graphicData>
            </a:graphic>
          </wp:inline>
        </w:drawing>
      </w:r>
    </w:p>
    <w:p w14:paraId="130DCAF4" w14:textId="68F77FE7" w:rsidR="000E7F78" w:rsidRDefault="000E7F78" w:rsidP="000E7F78">
      <w:pPr>
        <w:jc w:val="center"/>
        <w:rPr>
          <w:b/>
          <w:lang w:val="en-US"/>
        </w:rPr>
      </w:pPr>
      <w:r>
        <w:rPr>
          <w:b/>
          <w:lang w:val="en-US"/>
        </w:rPr>
        <w:t>List Required Keys.vi</w:t>
      </w:r>
    </w:p>
    <w:p w14:paraId="79F2C217" w14:textId="26A39B6E" w:rsidR="000E7F78" w:rsidRDefault="000E7F78" w:rsidP="000E7F78">
      <w:pPr>
        <w:rPr>
          <w:lang w:val="en-US"/>
        </w:rPr>
      </w:pPr>
      <w:r>
        <w:rPr>
          <w:lang w:val="en-US"/>
        </w:rPr>
        <w:t>The E2E module uses key-value pairs to store runtime implementation specific configuration. If your runtime implementation has additional configuration information, add the keys and initial values here. Use the “Read Key.vi” and “Write Key.vi” methods in the E2E configuration class to access the key-value pairs.</w:t>
      </w:r>
    </w:p>
    <w:p w14:paraId="6D8E8C72" w14:textId="04235C6C" w:rsidR="000E7F78" w:rsidRDefault="000E7F78" w:rsidP="000E7F78">
      <w:pPr>
        <w:jc w:val="center"/>
        <w:rPr>
          <w:lang w:val="en-US"/>
        </w:rPr>
      </w:pPr>
      <w:r>
        <w:rPr>
          <w:noProof/>
        </w:rPr>
        <w:drawing>
          <wp:inline distT="0" distB="0" distL="0" distR="0" wp14:anchorId="77329B2F" wp14:editId="6B7860B8">
            <wp:extent cx="4714875" cy="56197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714875" cy="561975"/>
                    </a:xfrm>
                    <a:prstGeom prst="rect">
                      <a:avLst/>
                    </a:prstGeom>
                  </pic:spPr>
                </pic:pic>
              </a:graphicData>
            </a:graphic>
          </wp:inline>
        </w:drawing>
      </w:r>
    </w:p>
    <w:p w14:paraId="5B9D4C29" w14:textId="7900B8CB" w:rsidR="000E7F78" w:rsidRDefault="000E7F78" w:rsidP="000E7F78">
      <w:pPr>
        <w:jc w:val="center"/>
        <w:rPr>
          <w:b/>
          <w:lang w:val="en-US"/>
        </w:rPr>
      </w:pPr>
      <w:r w:rsidRPr="000E7F78">
        <w:rPr>
          <w:b/>
          <w:lang w:val="en-US"/>
        </w:rPr>
        <w:t>execution class name.vi</w:t>
      </w:r>
    </w:p>
    <w:p w14:paraId="2BBE4B11" w14:textId="75B4F726" w:rsidR="000E7F78" w:rsidRPr="000E7F78" w:rsidRDefault="000E7F78" w:rsidP="000E7F78">
      <w:pPr>
        <w:rPr>
          <w:lang w:val="en-US"/>
        </w:rPr>
      </w:pPr>
      <w:r>
        <w:rPr>
          <w:lang w:val="en-US"/>
        </w:rPr>
        <w:t xml:space="preserve">Returns the class name of the runtime component for the current runtime implementation. Return the name of the class you will create in </w:t>
      </w:r>
      <w:r w:rsidR="00352401">
        <w:rPr>
          <w:lang w:val="en-US"/>
        </w:rPr>
        <w:t>Section 3</w:t>
      </w:r>
      <w:r>
        <w:rPr>
          <w:lang w:val="en-US"/>
        </w:rPr>
        <w:t>.</w:t>
      </w:r>
    </w:p>
    <w:p w14:paraId="14E0158F" w14:textId="1D4D246D" w:rsidR="00A528F1" w:rsidRDefault="000E7F78" w:rsidP="000E7F78">
      <w:pPr>
        <w:pStyle w:val="Heading3"/>
        <w:rPr>
          <w:lang w:val="en-US"/>
        </w:rPr>
      </w:pPr>
      <w:r>
        <w:rPr>
          <w:lang w:val="en-US"/>
        </w:rPr>
        <w:t xml:space="preserve">2. Modify E2E Tag Exchange editor </w:t>
      </w:r>
      <w:proofErr w:type="spellStart"/>
      <w:proofErr w:type="gramStart"/>
      <w:r>
        <w:rPr>
          <w:lang w:val="en-US"/>
        </w:rPr>
        <w:t>node.lvclass</w:t>
      </w:r>
      <w:proofErr w:type="spellEnd"/>
      <w:proofErr w:type="gramEnd"/>
    </w:p>
    <w:p w14:paraId="337B3DD2" w14:textId="43C79DBA" w:rsidR="000E7F78" w:rsidRDefault="000E7F78" w:rsidP="000E7F78">
      <w:pPr>
        <w:rPr>
          <w:lang w:val="en-US"/>
        </w:rPr>
      </w:pPr>
      <w:r>
        <w:rPr>
          <w:lang w:val="en-US"/>
        </w:rPr>
        <w:t>The following editor class method need</w:t>
      </w:r>
      <w:r w:rsidR="00C414DA">
        <w:rPr>
          <w:lang w:val="en-US"/>
        </w:rPr>
        <w:t>s</w:t>
      </w:r>
      <w:r>
        <w:rPr>
          <w:lang w:val="en-US"/>
        </w:rPr>
        <w:t xml:space="preserve"> to be edited:</w:t>
      </w:r>
    </w:p>
    <w:p w14:paraId="72DA7DE5" w14:textId="0F84AC8B" w:rsidR="000E7F78" w:rsidRDefault="000E7F78" w:rsidP="000E7F78">
      <w:pPr>
        <w:jc w:val="center"/>
        <w:rPr>
          <w:b/>
          <w:lang w:val="en-US"/>
        </w:rPr>
      </w:pPr>
      <w:r>
        <w:rPr>
          <w:noProof/>
        </w:rPr>
        <w:drawing>
          <wp:inline distT="0" distB="0" distL="0" distR="0" wp14:anchorId="7A50BDF7" wp14:editId="0694A4D8">
            <wp:extent cx="3467100" cy="42862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467100" cy="428625"/>
                    </a:xfrm>
                    <a:prstGeom prst="rect">
                      <a:avLst/>
                    </a:prstGeom>
                  </pic:spPr>
                </pic:pic>
              </a:graphicData>
            </a:graphic>
          </wp:inline>
        </w:drawing>
      </w:r>
    </w:p>
    <w:p w14:paraId="6FDBFB34" w14:textId="7B62FF59" w:rsidR="000E7F78" w:rsidRDefault="000E7F78" w:rsidP="000E7F78">
      <w:pPr>
        <w:jc w:val="center"/>
        <w:rPr>
          <w:b/>
          <w:lang w:val="en-US"/>
        </w:rPr>
      </w:pPr>
      <w:r>
        <w:rPr>
          <w:b/>
          <w:lang w:val="en-US"/>
        </w:rPr>
        <w:t>Read Panel Info.vi</w:t>
      </w:r>
    </w:p>
    <w:p w14:paraId="1FEAFDF5" w14:textId="40785AE8" w:rsidR="000E7F78" w:rsidRDefault="00C414DA" w:rsidP="000E7F78">
      <w:pPr>
        <w:rPr>
          <w:lang w:val="en-US"/>
        </w:rPr>
      </w:pPr>
      <w:r>
        <w:rPr>
          <w:lang w:val="en-US"/>
        </w:rPr>
        <w:t>If your runtime implementation has specific configuration information, return the name you would like for the configuration tab and a reference to a VI that is used to modify the configuration information. A template VI has been created to define a VI server interface and to simplify the creation of the VI. Create a new VI from the following template VI included in the source:</w:t>
      </w:r>
    </w:p>
    <w:p w14:paraId="209E452A" w14:textId="64445CDB" w:rsidR="00C414DA" w:rsidRDefault="00C414DA" w:rsidP="00C414DA">
      <w:pPr>
        <w:jc w:val="center"/>
        <w:rPr>
          <w:lang w:val="en-US"/>
        </w:rPr>
      </w:pPr>
      <w:r>
        <w:rPr>
          <w:noProof/>
        </w:rPr>
        <w:lastRenderedPageBreak/>
        <w:drawing>
          <wp:inline distT="0" distB="0" distL="0" distR="0" wp14:anchorId="6BA9F436" wp14:editId="720AB7FF">
            <wp:extent cx="923925" cy="68580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923925" cy="685800"/>
                    </a:xfrm>
                    <a:prstGeom prst="rect">
                      <a:avLst/>
                    </a:prstGeom>
                  </pic:spPr>
                </pic:pic>
              </a:graphicData>
            </a:graphic>
          </wp:inline>
        </w:drawing>
      </w:r>
    </w:p>
    <w:p w14:paraId="2DAB30F3" w14:textId="1CD83C15" w:rsidR="00C414DA" w:rsidRDefault="00C414DA" w:rsidP="00C414DA">
      <w:pPr>
        <w:rPr>
          <w:lang w:val="en-US"/>
        </w:rPr>
      </w:pPr>
      <w:r>
        <w:rPr>
          <w:lang w:val="en-US"/>
        </w:rPr>
        <w:t>See the UDP runtime component for an example.</w:t>
      </w:r>
    </w:p>
    <w:p w14:paraId="2E85AAF3" w14:textId="26C745F7" w:rsidR="00C414DA" w:rsidRDefault="00C414DA" w:rsidP="00C414DA">
      <w:pPr>
        <w:pStyle w:val="Heading3"/>
        <w:rPr>
          <w:lang w:val="en-US"/>
        </w:rPr>
      </w:pPr>
      <w:r>
        <w:rPr>
          <w:lang w:val="en-US"/>
        </w:rPr>
        <w:t>3. Create the Runtime Class</w:t>
      </w:r>
    </w:p>
    <w:p w14:paraId="45D3CB47" w14:textId="3D81F048" w:rsidR="00C414DA" w:rsidRPr="00C414DA" w:rsidRDefault="00C414DA" w:rsidP="00C414DA">
      <w:pPr>
        <w:rPr>
          <w:lang w:val="en-US"/>
        </w:rPr>
      </w:pPr>
      <w:r>
        <w:rPr>
          <w:lang w:val="en-US"/>
        </w:rPr>
        <w:t xml:space="preserve">Create a new LabVIEW class that inherits from TBM module execution </w:t>
      </w:r>
      <w:proofErr w:type="spellStart"/>
      <w:proofErr w:type="gramStart"/>
      <w:r>
        <w:rPr>
          <w:lang w:val="en-US"/>
        </w:rPr>
        <w:t>interface.lvclass</w:t>
      </w:r>
      <w:proofErr w:type="spellEnd"/>
      <w:proofErr w:type="gramEnd"/>
      <w:r w:rsidR="007511F0">
        <w:rPr>
          <w:lang w:val="en-US"/>
        </w:rPr>
        <w:t xml:space="preserve">. The input and output channels configured by the editor and loaded during the init.vi override will match properly between paired modules. Use Read Key.vi in the init.vi override to access specific runtime configuration. No other logic is necessary for the E2E tag exchange. See the UDP runtime class for an example.  </w:t>
      </w:r>
    </w:p>
    <w:sectPr w:rsidR="00C414DA" w:rsidRPr="00C414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25294A"/>
    <w:multiLevelType w:val="hybridMultilevel"/>
    <w:tmpl w:val="811A62F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B963D0C"/>
    <w:multiLevelType w:val="hybridMultilevel"/>
    <w:tmpl w:val="4AB0C0F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0217D32"/>
    <w:multiLevelType w:val="hybridMultilevel"/>
    <w:tmpl w:val="502AB8E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5DE25D1"/>
    <w:multiLevelType w:val="hybridMultilevel"/>
    <w:tmpl w:val="D8DAA0A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16EC202E"/>
    <w:multiLevelType w:val="hybridMultilevel"/>
    <w:tmpl w:val="6F9882E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21770190"/>
    <w:multiLevelType w:val="hybridMultilevel"/>
    <w:tmpl w:val="2A4C135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6F806186"/>
    <w:multiLevelType w:val="hybridMultilevel"/>
    <w:tmpl w:val="5004FFE4"/>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774F565C"/>
    <w:multiLevelType w:val="hybridMultilevel"/>
    <w:tmpl w:val="C026279E"/>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1"/>
  </w:num>
  <w:num w:numId="2">
    <w:abstractNumId w:val="6"/>
  </w:num>
  <w:num w:numId="3">
    <w:abstractNumId w:val="2"/>
  </w:num>
  <w:num w:numId="4">
    <w:abstractNumId w:val="5"/>
  </w:num>
  <w:num w:numId="5">
    <w:abstractNumId w:val="3"/>
  </w:num>
  <w:num w:numId="6">
    <w:abstractNumId w:val="7"/>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637"/>
    <w:rsid w:val="0000200A"/>
    <w:rsid w:val="00047E2A"/>
    <w:rsid w:val="0006185E"/>
    <w:rsid w:val="000E5716"/>
    <w:rsid w:val="000E7F78"/>
    <w:rsid w:val="00102CF2"/>
    <w:rsid w:val="0013678A"/>
    <w:rsid w:val="001B5AF4"/>
    <w:rsid w:val="002008EF"/>
    <w:rsid w:val="00311604"/>
    <w:rsid w:val="00352401"/>
    <w:rsid w:val="003D6676"/>
    <w:rsid w:val="004925AE"/>
    <w:rsid w:val="004F0796"/>
    <w:rsid w:val="005B5814"/>
    <w:rsid w:val="006036DD"/>
    <w:rsid w:val="007511F0"/>
    <w:rsid w:val="008303B6"/>
    <w:rsid w:val="008750C9"/>
    <w:rsid w:val="00944935"/>
    <w:rsid w:val="009455BE"/>
    <w:rsid w:val="00962B83"/>
    <w:rsid w:val="009656FE"/>
    <w:rsid w:val="00A010A6"/>
    <w:rsid w:val="00A528F1"/>
    <w:rsid w:val="00A72CB6"/>
    <w:rsid w:val="00BE153C"/>
    <w:rsid w:val="00C22550"/>
    <w:rsid w:val="00C414DA"/>
    <w:rsid w:val="00C975F4"/>
    <w:rsid w:val="00CD2A54"/>
    <w:rsid w:val="00CE7D2B"/>
    <w:rsid w:val="00D751B5"/>
    <w:rsid w:val="00DC6934"/>
    <w:rsid w:val="00DE4E88"/>
    <w:rsid w:val="00DF3DCE"/>
    <w:rsid w:val="00E337A1"/>
    <w:rsid w:val="00E41637"/>
    <w:rsid w:val="00E82ABA"/>
    <w:rsid w:val="00FE4F32"/>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0F6EA"/>
  <w15:chartTrackingRefBased/>
  <w15:docId w15:val="{A9CC2260-B4E9-4D50-A98E-B4F688A11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163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4163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1160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41637"/>
    <w:pPr>
      <w:spacing w:after="0" w:line="240" w:lineRule="auto"/>
      <w:contextualSpacing/>
    </w:pPr>
    <w:rPr>
      <w:rFonts w:asciiTheme="majorHAnsi" w:eastAsiaTheme="majorEastAsia" w:hAnsiTheme="majorHAnsi" w:cstheme="majorBidi"/>
      <w:b/>
      <w:spacing w:val="-10"/>
      <w:kern w:val="28"/>
      <w:sz w:val="40"/>
      <w:szCs w:val="56"/>
    </w:rPr>
  </w:style>
  <w:style w:type="character" w:customStyle="1" w:styleId="TitleChar">
    <w:name w:val="Title Char"/>
    <w:basedOn w:val="DefaultParagraphFont"/>
    <w:link w:val="Title"/>
    <w:uiPriority w:val="10"/>
    <w:rsid w:val="00E41637"/>
    <w:rPr>
      <w:rFonts w:asciiTheme="majorHAnsi" w:eastAsiaTheme="majorEastAsia" w:hAnsiTheme="majorHAnsi" w:cstheme="majorBidi"/>
      <w:b/>
      <w:spacing w:val="-10"/>
      <w:kern w:val="28"/>
      <w:sz w:val="40"/>
      <w:szCs w:val="56"/>
    </w:rPr>
  </w:style>
  <w:style w:type="character" w:customStyle="1" w:styleId="Heading1Char">
    <w:name w:val="Heading 1 Char"/>
    <w:basedOn w:val="DefaultParagraphFont"/>
    <w:link w:val="Heading1"/>
    <w:uiPriority w:val="9"/>
    <w:rsid w:val="00E4163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4163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44935"/>
    <w:pPr>
      <w:ind w:left="720"/>
      <w:contextualSpacing/>
    </w:pPr>
  </w:style>
  <w:style w:type="character" w:styleId="Hyperlink">
    <w:name w:val="Hyperlink"/>
    <w:basedOn w:val="DefaultParagraphFont"/>
    <w:uiPriority w:val="99"/>
    <w:unhideWhenUsed/>
    <w:rsid w:val="00A72CB6"/>
    <w:rPr>
      <w:color w:val="0563C1" w:themeColor="hyperlink"/>
      <w:u w:val="single"/>
    </w:rPr>
  </w:style>
  <w:style w:type="character" w:styleId="UnresolvedMention">
    <w:name w:val="Unresolved Mention"/>
    <w:basedOn w:val="DefaultParagraphFont"/>
    <w:uiPriority w:val="99"/>
    <w:semiHidden/>
    <w:unhideWhenUsed/>
    <w:rsid w:val="00A72CB6"/>
    <w:rPr>
      <w:color w:val="605E5C"/>
      <w:shd w:val="clear" w:color="auto" w:fill="E1DFDD"/>
    </w:rPr>
  </w:style>
  <w:style w:type="character" w:customStyle="1" w:styleId="Heading3Char">
    <w:name w:val="Heading 3 Char"/>
    <w:basedOn w:val="DefaultParagraphFont"/>
    <w:link w:val="Heading3"/>
    <w:uiPriority w:val="9"/>
    <w:rsid w:val="00311604"/>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CE7D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DE"/>
    </w:rPr>
  </w:style>
  <w:style w:type="character" w:customStyle="1" w:styleId="HTMLPreformattedChar">
    <w:name w:val="HTML Preformatted Char"/>
    <w:basedOn w:val="DefaultParagraphFont"/>
    <w:link w:val="HTMLPreformatted"/>
    <w:uiPriority w:val="99"/>
    <w:semiHidden/>
    <w:rsid w:val="00CE7D2B"/>
    <w:rPr>
      <w:rFonts w:ascii="Courier New" w:eastAsia="Times New Roman" w:hAnsi="Courier New" w:cs="Courier New"/>
      <w:sz w:val="20"/>
      <w:szCs w:val="20"/>
      <w:lang w:val="en-DE" w:eastAsia="en-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6185490">
      <w:bodyDiv w:val="1"/>
      <w:marLeft w:val="0"/>
      <w:marRight w:val="0"/>
      <w:marTop w:val="0"/>
      <w:marBottom w:val="0"/>
      <w:divBdr>
        <w:top w:val="none" w:sz="0" w:space="0" w:color="auto"/>
        <w:left w:val="none" w:sz="0" w:space="0" w:color="auto"/>
        <w:bottom w:val="none" w:sz="0" w:space="0" w:color="auto"/>
        <w:right w:val="none" w:sz="0" w:space="0" w:color="auto"/>
      </w:divBdr>
    </w:div>
    <w:div w:id="996569016">
      <w:bodyDiv w:val="1"/>
      <w:marLeft w:val="0"/>
      <w:marRight w:val="0"/>
      <w:marTop w:val="0"/>
      <w:marBottom w:val="0"/>
      <w:divBdr>
        <w:top w:val="none" w:sz="0" w:space="0" w:color="auto"/>
        <w:left w:val="none" w:sz="0" w:space="0" w:color="auto"/>
        <w:bottom w:val="none" w:sz="0" w:space="0" w:color="auto"/>
        <w:right w:val="none" w:sz="0" w:space="0" w:color="auto"/>
      </w:divBdr>
    </w:div>
    <w:div w:id="1495073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hyperlink" Target="https://forums.ni.com/t5/Distributed-Control-Automation/gp-p/5235"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github.com/LabVIEW-DCAF/E2E" TargetMode="External"/><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hyperlink" Target="https://forums.ni.com/t5/Distributed-Control-Automation/gp-p/5235" TargetMode="Externa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D99B35-766B-4078-8154-956CD2008B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289</TotalTime>
  <Pages>13</Pages>
  <Words>1794</Words>
  <Characters>10231</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Knox</dc:creator>
  <cp:keywords/>
  <dc:description/>
  <cp:lastModifiedBy>Ian Knox</cp:lastModifiedBy>
  <cp:revision>17</cp:revision>
  <cp:lastPrinted>2018-08-23T13:45:00Z</cp:lastPrinted>
  <dcterms:created xsi:type="dcterms:W3CDTF">2018-08-13T07:31:00Z</dcterms:created>
  <dcterms:modified xsi:type="dcterms:W3CDTF">2018-10-17T08:02:00Z</dcterms:modified>
</cp:coreProperties>
</file>