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spacing w:after="160" w:before="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160" w:before="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after="160" w:before="0" w:line="246.9999999999999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after="160" w:before="0" w:line="246.999999999999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6"/>
          <w:szCs w:val="26"/>
          <w:rtl w:val="0"/>
        </w:rPr>
        <w:t xml:space="preserve">TEAM TECHNICAL ARTEFACT 8</w:t>
      </w:r>
      <w:r w:rsidDel="00000000" w:rsidR="00000000" w:rsidRPr="00000000">
        <w:rPr>
          <w:rtl w:val="0"/>
        </w:rPr>
      </w:r>
    </w:p>
    <w:p w:rsidR="00000000" w:rsidDel="00000000" w:rsidP="00000000" w:rsidRDefault="00000000" w:rsidRPr="00000000" w14:paraId="00000006">
      <w:pPr>
        <w:spacing w:after="200" w:before="0" w:line="246.99999999999994"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07">
      <w:pPr>
        <w:spacing w:after="200" w:before="0" w:line="246.999999999999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46"/>
          <w:szCs w:val="46"/>
          <w:rtl w:val="0"/>
        </w:rPr>
        <w:t xml:space="preserve">Ethical, Legal &amp; Professional Considerations Report</w:t>
      </w:r>
      <w:r w:rsidDel="00000000" w:rsidR="00000000" w:rsidRPr="00000000">
        <w:rPr>
          <w:rtl w:val="0"/>
        </w:rPr>
      </w:r>
    </w:p>
    <w:p w:rsidR="00000000" w:rsidDel="00000000" w:rsidP="00000000" w:rsidRDefault="00000000" w:rsidRPr="00000000" w14:paraId="00000008">
      <w:pPr>
        <w:spacing w:after="280" w:before="0" w:line="246.99999999999994"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280" w:before="0" w:line="246.999999999999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8"/>
          <w:szCs w:val="28"/>
          <w:rtl w:val="0"/>
        </w:rPr>
        <w:t xml:space="preserve">Explainable and False-Positive-Aware Hybrid Unsupervised Network Anomaly Detection for Australian SME Financial Services</w:t>
      </w:r>
      <w:r w:rsidDel="00000000" w:rsidR="00000000" w:rsidRPr="00000000">
        <w:rPr>
          <w:rtl w:val="0"/>
        </w:rPr>
      </w:r>
    </w:p>
    <w:p w:rsidR="00000000" w:rsidDel="00000000" w:rsidP="00000000" w:rsidRDefault="00000000" w:rsidRPr="00000000" w14:paraId="0000000A">
      <w:pPr>
        <w:spacing w:after="240" w:before="0" w:line="246.99999999999994" w:lineRule="auto"/>
        <w:jc w:val="cente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0B">
      <w:pPr>
        <w:spacing w:after="240" w:before="0" w:line="246.99999999999994" w:lineRule="auto"/>
        <w:jc w:val="center"/>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0C">
      <w:pPr>
        <w:spacing w:after="240" w:before="0" w:line="246.9999999999999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COIT20265 Networks and Information Security Project | Group PG3 | HT2 2026</w:t>
      </w:r>
      <w:r w:rsidDel="00000000" w:rsidR="00000000" w:rsidRPr="00000000">
        <w:rPr>
          <w:rtl w:val="0"/>
        </w:rPr>
      </w:r>
    </w:p>
    <w:p w:rsidR="00000000" w:rsidDel="00000000" w:rsidP="00000000" w:rsidRDefault="00000000" w:rsidRPr="00000000" w14:paraId="0000000D">
      <w:pPr>
        <w:spacing w:after="400" w:before="0" w:line="246.99999999999994"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after="400" w:before="0" w:line="246.9999999999999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Team Members: Labannya Barua | Syed Rubaiyat Karim | Arjita Saha | Mst Sinha Naznin</w:t>
        <w:br w:type="textWrapping"/>
        <w:t xml:space="preserve">CQUniversity Australia | October 2026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10">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This technical artefact evaluates the ethical, legal and professional issues raised by the project prototype. The system is designed for an Australian SME financial-services scenario and uses normal-only anomaly detection, Zeek-derived network metadata, model explanations, threshold calibration, SQLite alert storage and a Streamlit analyst interface. The assessment is intentionally separated from TA7: TA7 asks what technical and operational risks can occur and how they are controlled; TA8 asks whether the project is being designed, tested, represented and potentially deployed in a lawful, proportionate and professionally responsible way.</w:t>
      </w:r>
      <w:r w:rsidDel="00000000" w:rsidR="00000000" w:rsidRPr="00000000">
        <w:rPr>
          <w:rtl w:val="0"/>
        </w:rPr>
      </w:r>
    </w:p>
    <w:p w:rsidR="00000000" w:rsidDel="00000000" w:rsidP="00000000" w:rsidRDefault="00000000" w:rsidRPr="00000000" w14:paraId="00000011">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project already contains several ethically significant design choices. Attack traffic is generated only in an isolated GNS3/VMware laboratory; no real customer financial records are used; the detector operates on flow/log metadata rather than financial-document content; the dashboard remains analyst-facing rather than automatically blocking users; false positives are reported explicitly; and negative findings such as cross-domain threshold failure and Hybrid score saturation are retained rather than hidden. These choices reduce harm, improve transparency and support accountable human decision-making.</w:t>
      </w:r>
      <w:r w:rsidDel="00000000" w:rsidR="00000000" w:rsidRPr="00000000">
        <w:rPr>
          <w:rtl w:val="0"/>
        </w:rPr>
      </w:r>
    </w:p>
    <w:p w:rsidR="00000000" w:rsidDel="00000000" w:rsidP="00000000" w:rsidRDefault="00000000" w:rsidRPr="00000000" w14:paraId="00000012">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For a real deployment, legal applicability cannot be inferred from the word “SME” alone. Most Australian small businesses with annual turnover of $3 million or less are outside the Privacy Act 1988 unless an exception applies, but financial-sector activities can bring an organisation within privacy, credit, AML/CTF or licensing obligations. Where the Australian Privacy Principles apply, security, transparency, collection, use/disclosure and retention requirements become relevant to network logs and alert data. Covered entities may also have Notifiable Data Breaches obligations. If the target firm is an Australian financial services licensee, ASIC identifies adequate technological and human resources and adequate risk-management systems among its general obligations. This report therefore treats legal applicability as a deployment gate that must be confirmed for the actual organisation rather than assumed from business size.</w:t>
      </w:r>
      <w:r w:rsidDel="00000000" w:rsidR="00000000" w:rsidRPr="00000000">
        <w:rPr>
          <w:rtl w:val="0"/>
        </w:rPr>
      </w:r>
    </w:p>
    <w:p w:rsidR="00000000" w:rsidDel="00000000" w:rsidP="00000000" w:rsidRDefault="00000000" w:rsidRPr="00000000" w14:paraId="00000013">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Ethically, the main concerns are privacy and surveillance, false accusations from false positives, missed attacks and false assurance, distribution shift, explainability limits, function creep, dual-use attack knowledge, accountability and software/data licensing. The report maps these concerns to the ACS Code of Professional Ethics values of honesty, trustworthiness and respect, and to Australia’s AI Ethics Principles. The central recommendation is that the prototype remain decision-support technology: threshold changes, investigations and any future response action should be attributable to a responsible human, supported by evidence, reviewable and subject to documented governance.</w:t>
      </w:r>
      <w:r w:rsidDel="00000000" w:rsidR="00000000" w:rsidRPr="00000000">
        <w:rPr>
          <w:rtl w:val="0"/>
        </w:rPr>
      </w:r>
    </w:p>
    <w:p w:rsidR="00000000" w:rsidDel="00000000" w:rsidP="00000000" w:rsidRDefault="00000000" w:rsidRPr="00000000" w14:paraId="00000014">
      <w:pPr>
        <w:spacing w:after="80" w:before="0" w:line="246.99999999999994"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5">
      <w:pPr>
        <w:spacing w:after="80" w:before="0" w:line="246.99999999999994"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Table of contents:</w:t>
      </w:r>
    </w:p>
    <w:sdt>
      <w:sdtPr>
        <w:id w:val="541443411"/>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 Purpose, Scope and Relationship to Other Artefacts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1.1 In Scope</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1.2 Out of Scope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1.3 Relationship to TA1, TA6 and TA7</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2. Ethical and Professional Evaluation Method</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2.1 Evaluation Principles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3. Stakeholders and Potential Impacts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4. Privacy and Data Protection Analysis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4.1 What Data the Prototype Handles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4.2 Privacy Act Applicability is Conditional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4.3 Australian Privacy Principles Most Relevant to Deployment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4.4 Notifiable Data Breaches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4.5 Privacy-by-Design Controls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5. Financial-Services Legal and Regulatory Context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5.1 AFS Licensee Context - Where Applicable</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5.2 AML/CTF and Other Activity-Based Obligations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5.3 Workplace Monitoring and Organisational Authority</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5.4 No Compliance Claim</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6. Ethics of Network Monitoring and Controlled Security Testing</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6.1 Authorisation and Isolation</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6.2 Minimum Necessary Attack Activity</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6.3 Function Creep</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6.4 Proportionality</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 Machine-Learning and AI Ethics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7.1 False Positives: Harm Beyond a Metric</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7.2 False Negatives and False Assurance</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7.3 Distribution Shift and Fairness Across Environments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7.4 Explainability is Evidence, not Causation</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7.5 Human Oversight and Contestability</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7.6 Threshold Governance</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8. Professional Responsibility and ACS Ethics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8.1 Competence and Due Care</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8.2 Reproducibility and Evidence Integrity</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9. Intellectual Property, Licensing and Academic Integrity</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9.1 Third-Party Datasets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9.2 Software and Dependencies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9.3 Project Source Code and Contributions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9.4 Academic Integrity</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10. Ethical and Legal Issue Register</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11. Governance Controls and Deployment Requirements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11.1 Minimum Production Governance Pack</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12. Accountability, Escalation and Contestability</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13. Limitations of this Ethical and Legal Analysis</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14. Recommendations</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15. Conclusion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References</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A. Deployment Ethics and Legal Checklist</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B. Requirements-to-Ethics Traceability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80" w:before="0" w:line="246.99999999999994"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8">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Purpose, Scope and Relationship to Other Artefacts</w:t>
      </w:r>
    </w:p>
    <w:p w:rsidR="00000000" w:rsidDel="00000000" w:rsidP="00000000" w:rsidRDefault="00000000" w:rsidRPr="00000000" w14:paraId="00000049">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The purpose of this artefact is to show that the project has considered more than technical performance. A network-security system can affect employees, analysts, customers and the organisation even when it processes only metadata. The report therefore examines the purpose and proportionality of monitoring, the treatment of personal or potentially identifying information, the consequences of model errors, the responsibilities of the project team, and the governance required before a prototype could be used in a real financial-services environment.</w:t>
      </w:r>
      <w:r w:rsidDel="00000000" w:rsidR="00000000" w:rsidRPr="00000000">
        <w:rPr>
          <w:rFonts w:ascii="Times New Roman" w:cs="Times New Roman" w:eastAsia="Times New Roman" w:hAnsi="Times New Roman"/>
          <w:sz w:val="22"/>
          <w:szCs w:val="22"/>
          <w:rtl w:val="0"/>
        </w:rPr>
      </w:r>
      <w:r w:rsidDel="00000000" w:rsidR="00000000" w:rsidRPr="00000000">
        <w:rPr>
          <w:rFonts w:ascii="Times New Roman" w:cs="Times New Roman" w:eastAsia="Times New Roman" w:hAnsi="Times New Roman"/>
          <w:i w:val="0"/>
          <w:iCs w:val="0"/>
          <w:sz w:val="22"/>
          <w:szCs w:val="22"/>
          <w:rtl w:val="0"/>
        </w:rPr>
      </w:r>
      <w:r w:rsidDel="00000000" w:rsidR="00000000" w:rsidRPr="00000000">
        <w:rPr>
          <w:rtl w:val="0"/>
        </w:rPr>
      </w:r>
    </w:p>
    <w:p w:rsidR="00000000" w:rsidDel="00000000" w:rsidP="00000000" w:rsidRDefault="00000000" w:rsidRPr="00000000" w14:paraId="0000004A">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In Scope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Privacy implications of Zeek logs, PCAPs, alert metadata, source/destination identifiers and model outputs.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Australian Privacy Act / APP applicability at a high level, including the small-business qualification and NDB scheme.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Financial-services obligations relevant to cyber-risk governance where the target organisation is an AFS licensee or otherwise regulated.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Ethical implications of anomaly scores, false positives, false negatives, threshold calibration, explainability and human review.</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Authorised security testing, dual-use attack knowledge and laboratory containment.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Professional conduct, honest reporting, competence, accountability, reproducibility and stakeholder respect.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Intellectual-property and licensing responsibilities for datasets, software, code, figures and third-party material.</w:t>
      </w:r>
    </w:p>
    <w:p w:rsidR="00000000" w:rsidDel="00000000" w:rsidP="00000000" w:rsidRDefault="00000000" w:rsidRPr="00000000" w14:paraId="00000052">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Out of Scope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Providing legal advice or a definitive compliance opinion for an unidentified future client.</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Formal certification against the Privacy Act, ISO 27001, APRA CPS 234 or any other standard/regulatory regime.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Detailed technical risk scoring and security-control treatment.</w:t>
      </w:r>
    </w:p>
    <w:p>
      <w:pPr>
        <w:spacing w:after="120"/>
      </w:pPr>
      <w:r>
        <w:rPr>
          <w:rFonts w:ascii="Times New Roman" w:hAnsi="Times New Roman"/>
          <w:sz w:val="22"/>
        </w:rPr>
        <w:t>Artefact scope cross-reference: TA9 is the technical Risk Assessment and Security Controls Report; TA10 evaluates the separate ethical, legal and professional issues. System architecture and requirements are documented in TA1, benchmark and practical evaluation in TA6–TA7, and dashboard implementation in TA8. Cross-references are to the final ten-artefact numbering, not earlier internal draft numbers.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Detailed model-performance and threshold results.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Employee disciplinary decisions, automated enforcement or autonomous network blocking.</w:t>
      </w:r>
      <w:r w:rsidDel="00000000" w:rsidR="00000000" w:rsidRPr="00000000">
        <w:rPr>
          <w:rtl w:val="0"/>
        </w:rPr>
      </w:r>
    </w:p>
    <w:p w:rsidR="00000000" w:rsidDel="00000000" w:rsidP="00000000" w:rsidRDefault="00000000" w:rsidRPr="00000000" w14:paraId="00000058">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Ethical and Professional Evaluation Method</w:t>
      </w:r>
    </w:p>
    <w:p w:rsidR="00000000" w:rsidDel="00000000" w:rsidP="00000000" w:rsidRDefault="00000000" w:rsidRPr="00000000" w14:paraId="00000059">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assessment uses a practical ethics-by-design method rather than treating ethics as a final compliance checklist. Each important system decision is tested against five questions: (1) is the purpose legitimate and disclosed; (2) is the data/action necessary and proportionate; (3) who can be harmed by an error or misuse; (4) can the decision be explained, reviewed and challenged; and (5) is responsibility assigned to an identifiable person or role? This approach is consistent with the project’s passive, analyst-facing architecture and with Australian professional and AI-governance guidance.</w:t>
      </w:r>
      <w:r w:rsidDel="00000000" w:rsidR="00000000" w:rsidRPr="00000000">
        <w:rPr>
          <w:rtl w:val="0"/>
        </w:rPr>
      </w:r>
    </w:p>
    <w:p w:rsidR="00000000" w:rsidDel="00000000" w:rsidP="00000000" w:rsidRDefault="00000000" w:rsidRPr="00000000" w14:paraId="0000005A">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Evaluation Principles</w:t>
      </w:r>
    </w:p>
    <w:tbl>
      <w:tblPr>
        <w:tblStyle w:val="Table1"/>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4740"/>
        <w:gridCol w:w="3390"/>
        <w:tblGridChange w:id="0">
          <w:tblGrid>
            <w:gridCol w:w="2040"/>
            <w:gridCol w:w="4740"/>
            <w:gridCol w:w="3390"/>
          </w:tblGrid>
        </w:tblGridChange>
      </w:tblGrid>
      <w:tr>
        <w:trPr>
          <w:cantSplit w:val="0"/>
          <w:tblHeader w:val="1"/>
        </w:trPr>
        <w:tc>
          <w:tcPr>
            <w:vAlign w:val="center"/>
          </w:tcPr>
          <w:p w:rsidR="00000000" w:rsidDel="00000000" w:rsidP="00000000" w:rsidRDefault="00000000" w:rsidRPr="00000000" w14:paraId="0000005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Principle</w:t>
            </w:r>
            <w:r w:rsidDel="00000000" w:rsidR="00000000" w:rsidRPr="00000000">
              <w:rPr>
                <w:rtl w:val="0"/>
              </w:rPr>
            </w:r>
          </w:p>
        </w:tc>
        <w:tc>
          <w:tcPr>
            <w:vAlign w:val="center"/>
          </w:tcPr>
          <w:p w:rsidR="00000000" w:rsidDel="00000000" w:rsidP="00000000" w:rsidRDefault="00000000" w:rsidRPr="00000000" w14:paraId="0000005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interpretation</w:t>
            </w:r>
            <w:r w:rsidDel="00000000" w:rsidR="00000000" w:rsidRPr="00000000">
              <w:rPr>
                <w:rtl w:val="0"/>
              </w:rPr>
            </w:r>
          </w:p>
        </w:tc>
        <w:tc>
          <w:tcPr>
            <w:vAlign w:val="center"/>
          </w:tcPr>
          <w:p w:rsidR="00000000" w:rsidDel="00000000" w:rsidP="00000000" w:rsidRDefault="00000000" w:rsidRPr="00000000" w14:paraId="0000005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 expected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Legitimate purpose</w:t>
            </w:r>
          </w:p>
        </w:tc>
        <w:tc>
          <w:tcPr>
            <w:vAlign w:val="center"/>
          </w:tcPr>
          <w:p w:rsidR="00000000" w:rsidDel="00000000" w:rsidP="00000000" w:rsidRDefault="00000000" w:rsidRPr="00000000" w14:paraId="0000005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Monitoring must be tied to cyber-security detection/investigation, not unrelated employee surveillance.</w:t>
            </w:r>
          </w:p>
        </w:tc>
        <w:tc>
          <w:tcPr>
            <w:vAlign w:val="center"/>
          </w:tcPr>
          <w:p w:rsidR="00000000" w:rsidDel="00000000" w:rsidP="00000000" w:rsidRDefault="00000000" w:rsidRPr="00000000" w14:paraId="0000006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Documented scope, use cases and authorised test plan.</w:t>
            </w:r>
          </w:p>
        </w:tc>
      </w:tr>
      <w:tr>
        <w:trPr>
          <w:cantSplit w:val="1"/>
          <w:tblHeader w:val="0"/>
        </w:trPr>
        <w:tc>
          <w:tcPr>
            <w:vAlign w:val="center"/>
          </w:tcPr>
          <w:p w:rsidR="00000000" w:rsidDel="00000000" w:rsidP="00000000" w:rsidRDefault="00000000" w:rsidRPr="00000000" w14:paraId="0000006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Necessity &amp; proportionality</w:t>
            </w:r>
          </w:p>
        </w:tc>
        <w:tc>
          <w:tcPr>
            <w:vAlign w:val="center"/>
          </w:tcPr>
          <w:p w:rsidR="00000000" w:rsidDel="00000000" w:rsidP="00000000" w:rsidRDefault="00000000" w:rsidRPr="00000000" w14:paraId="0000006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Collect the minimum network information needed to support the stated detection purpose.</w:t>
            </w:r>
          </w:p>
        </w:tc>
        <w:tc>
          <w:tcPr>
            <w:vAlign w:val="center"/>
          </w:tcPr>
          <w:p w:rsidR="00000000" w:rsidDel="00000000" w:rsidP="00000000" w:rsidRDefault="00000000" w:rsidRPr="00000000" w14:paraId="0000006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Portable feature set; metadata focus; no customer financial-document payloads.</w:t>
            </w:r>
          </w:p>
        </w:tc>
      </w:tr>
      <w:tr>
        <w:trPr>
          <w:cantSplit w:val="1"/>
          <w:tblHeader w:val="0"/>
        </w:trPr>
        <w:tc>
          <w:tcPr>
            <w:vAlign w:val="center"/>
          </w:tcPr>
          <w:p w:rsidR="00000000" w:rsidDel="00000000" w:rsidP="00000000" w:rsidRDefault="00000000" w:rsidRPr="00000000" w14:paraId="0000006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Non-maleficence</w:t>
            </w:r>
          </w:p>
        </w:tc>
        <w:tc>
          <w:tcPr>
            <w:vAlign w:val="center"/>
          </w:tcPr>
          <w:p w:rsidR="00000000" w:rsidDel="00000000" w:rsidP="00000000" w:rsidRDefault="00000000" w:rsidRPr="00000000" w14:paraId="0000006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Avoid unnecessary harm from testing, false alerts, over-collection or automated action.</w:t>
            </w:r>
          </w:p>
        </w:tc>
        <w:tc>
          <w:tcPr>
            <w:vAlign w:val="center"/>
          </w:tcPr>
          <w:p w:rsidR="00000000" w:rsidDel="00000000" w:rsidP="00000000" w:rsidRDefault="00000000" w:rsidRPr="00000000" w14:paraId="0000006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lab; no automatic blocking; FPR reporting; analyst review.</w:t>
            </w:r>
          </w:p>
        </w:tc>
      </w:tr>
      <w:tr>
        <w:trPr>
          <w:cantSplit w:val="1"/>
          <w:tblHeader w:val="0"/>
        </w:trPr>
        <w:tc>
          <w:tcPr>
            <w:vAlign w:val="center"/>
          </w:tcPr>
          <w:p w:rsidR="00000000" w:rsidDel="00000000" w:rsidP="00000000" w:rsidRDefault="00000000" w:rsidRPr="00000000" w14:paraId="0000006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Transparency</w:t>
            </w:r>
          </w:p>
        </w:tc>
        <w:tc>
          <w:tcPr>
            <w:vAlign w:val="center"/>
          </w:tcPr>
          <w:p w:rsidR="00000000" w:rsidDel="00000000" w:rsidP="00000000" w:rsidRDefault="00000000" w:rsidRPr="00000000" w14:paraId="0000006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not hide material limitations, failures or changes in operating thresholds.</w:t>
            </w:r>
          </w:p>
        </w:tc>
        <w:tc>
          <w:tcPr>
            <w:vAlign w:val="center"/>
          </w:tcPr>
          <w:p w:rsidR="00000000" w:rsidDel="00000000" w:rsidP="00000000" w:rsidRDefault="00000000" w:rsidRPr="00000000" w14:paraId="0000006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Negative results; threshold provenance; model/artefact version records.</w:t>
            </w:r>
          </w:p>
        </w:tc>
      </w:tr>
      <w:tr>
        <w:trPr>
          <w:cantSplit w:val="1"/>
          <w:tblHeader w:val="0"/>
        </w:trPr>
        <w:tc>
          <w:tcPr>
            <w:vAlign w:val="center"/>
          </w:tcPr>
          <w:p w:rsidR="00000000" w:rsidDel="00000000" w:rsidP="00000000" w:rsidRDefault="00000000" w:rsidRPr="00000000" w14:paraId="0000006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Contestability</w:t>
            </w:r>
          </w:p>
        </w:tc>
        <w:tc>
          <w:tcPr>
            <w:vAlign w:val="center"/>
          </w:tcPr>
          <w:p w:rsidR="00000000" w:rsidDel="00000000" w:rsidP="00000000" w:rsidRDefault="00000000" w:rsidRPr="00000000" w14:paraId="0000006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Where an alert can affect a person or business process, allow human review before adverse action.</w:t>
            </w:r>
          </w:p>
        </w:tc>
        <w:tc>
          <w:tcPr>
            <w:vAlign w:val="center"/>
          </w:tcPr>
          <w:p w:rsidR="00000000" w:rsidDel="00000000" w:rsidP="00000000" w:rsidRDefault="00000000" w:rsidRPr="00000000" w14:paraId="0000006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investigation workflow and passive decision support.</w:t>
            </w:r>
          </w:p>
        </w:tc>
      </w:tr>
      <w:tr>
        <w:trPr>
          <w:cantSplit w:val="1"/>
          <w:tblHeader w:val="0"/>
        </w:trPr>
        <w:tc>
          <w:tcPr>
            <w:vAlign w:val="center"/>
          </w:tcPr>
          <w:p w:rsidR="00000000" w:rsidDel="00000000" w:rsidP="00000000" w:rsidRDefault="00000000" w:rsidRPr="00000000" w14:paraId="0000006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Accountability</w:t>
            </w:r>
          </w:p>
        </w:tc>
        <w:tc>
          <w:tcPr>
            <w:vAlign w:val="center"/>
          </w:tcPr>
          <w:p w:rsidR="00000000" w:rsidDel="00000000" w:rsidP="00000000" w:rsidRDefault="00000000" w:rsidRPr="00000000" w14:paraId="0000006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Assign responsibility for models, thresholds, logs and escalation decisions.</w:t>
            </w:r>
          </w:p>
        </w:tc>
        <w:tc>
          <w:tcPr>
            <w:vAlign w:val="center"/>
          </w:tcPr>
          <w:p w:rsidR="00000000" w:rsidDel="00000000" w:rsidP="00000000" w:rsidRDefault="00000000" w:rsidRPr="00000000" w14:paraId="0000006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Named owners/roles, audit trail, change records and governance checklist.</w:t>
            </w:r>
          </w:p>
        </w:tc>
      </w:tr>
      <w:tr>
        <w:trPr>
          <w:cantSplit w:val="1"/>
          <w:tblHeader w:val="0"/>
        </w:trPr>
        <w:tc>
          <w:tcPr>
            <w:vAlign w:val="center"/>
          </w:tcPr>
          <w:p w:rsidR="00000000" w:rsidDel="00000000" w:rsidP="00000000" w:rsidRDefault="00000000" w:rsidRPr="00000000" w14:paraId="0000007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Reproducibility</w:t>
            </w:r>
          </w:p>
        </w:tc>
        <w:tc>
          <w:tcPr>
            <w:vAlign w:val="center"/>
          </w:tcPr>
          <w:p w:rsidR="00000000" w:rsidDel="00000000" w:rsidP="00000000" w:rsidRDefault="00000000" w:rsidRPr="00000000" w14:paraId="0000007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Claims should be traceable to data, code and repeatable procedures.</w:t>
            </w:r>
          </w:p>
        </w:tc>
        <w:tc>
          <w:tcPr>
            <w:vAlign w:val="center"/>
          </w:tcPr>
          <w:p w:rsidR="00000000" w:rsidDel="00000000" w:rsidP="00000000" w:rsidRDefault="00000000" w:rsidRPr="00000000" w14:paraId="0000007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models/preprocessor, source repository, evidence reports and fixed seeds.</w:t>
            </w:r>
          </w:p>
        </w:tc>
      </w:tr>
    </w:tbl>
    <w:p w:rsidR="00000000" w:rsidDel="00000000" w:rsidP="00000000" w:rsidRDefault="00000000" w:rsidRPr="00000000" w14:paraId="0000007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172200" cy="950135"/>
            <wp:effectExtent b="0" l="0" r="0" t="0"/>
            <wp:docPr descr="Image: image5.png" id="2" name="image2.png"/>
            <a:graphic>
              <a:graphicData uri="http://schemas.openxmlformats.org/drawingml/2006/picture">
                <pic:pic>
                  <pic:nvPicPr>
                    <pic:cNvPr descr="Image: image5.png" id="0" name="image2.png"/>
                    <pic:cNvPicPr preferRelativeResize="0"/>
                  </pic:nvPicPr>
                  <pic:blipFill>
                    <a:blip r:embed="rId6"/>
                    <a:srcRect b="27064" l="0" r="0" t="24433"/>
                    <a:stretch>
                      <a:fillRect/>
                    </a:stretch>
                  </pic:blipFill>
                  <pic:spPr>
                    <a:xfrm>
                      <a:off x="0" y="0"/>
                      <a:ext cx="6172200" cy="95013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1. Ethical, legal and professional governance lifecycle applied to the project prototype.</w:t>
      </w:r>
    </w:p>
    <w:p w:rsidR="00000000" w:rsidDel="00000000" w:rsidP="00000000" w:rsidRDefault="00000000" w:rsidRPr="00000000" w14:paraId="00000076">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Stakeholders and Potential Impacts</w:t>
      </w:r>
    </w:p>
    <w:p w:rsidR="00000000" w:rsidDel="00000000" w:rsidP="00000000" w:rsidRDefault="00000000" w:rsidRPr="00000000" w14:paraId="00000077">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same detection event can have different consequences for different stakeholders. An alert that is useful to an analyst can still affect an employee if it is interpreted as evidence of misconduct, and an overly conservative threshold can protect employees from false suspicion while leaving customer information exposed to missed attacks. Ethical evaluation therefore considers both security benefit and human impact.</w:t>
      </w:r>
      <w:r w:rsidDel="00000000" w:rsidR="00000000" w:rsidRPr="00000000">
        <w:rPr>
          <w:rtl w:val="0"/>
        </w:rPr>
      </w:r>
    </w:p>
    <w:tbl>
      <w:tblPr>
        <w:tblStyle w:val="Table2"/>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2940"/>
        <w:gridCol w:w="2535"/>
        <w:gridCol w:w="2535"/>
        <w:tblGridChange w:id="0">
          <w:tblGrid>
            <w:gridCol w:w="2130"/>
            <w:gridCol w:w="2940"/>
            <w:gridCol w:w="2535"/>
            <w:gridCol w:w="2535"/>
          </w:tblGrid>
        </w:tblGridChange>
      </w:tblGrid>
      <w:tr>
        <w:trPr>
          <w:cantSplit w:val="0"/>
          <w:tblHeader w:val="1"/>
        </w:trPr>
        <w:tc>
          <w:tcPr>
            <w:vAlign w:val="center"/>
          </w:tcPr>
          <w:p w:rsidR="00000000" w:rsidDel="00000000" w:rsidP="00000000" w:rsidRDefault="00000000" w:rsidRPr="00000000" w14:paraId="0000007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Stakeholder</w:t>
            </w:r>
            <w:r w:rsidDel="00000000" w:rsidR="00000000" w:rsidRPr="00000000">
              <w:rPr>
                <w:rtl w:val="0"/>
              </w:rPr>
            </w:r>
          </w:p>
        </w:tc>
        <w:tc>
          <w:tcPr>
            <w:vAlign w:val="center"/>
          </w:tcPr>
          <w:p w:rsidR="00000000" w:rsidDel="00000000" w:rsidP="00000000" w:rsidRDefault="00000000" w:rsidRPr="00000000" w14:paraId="0000007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Potential benefit</w:t>
            </w:r>
            <w:r w:rsidDel="00000000" w:rsidR="00000000" w:rsidRPr="00000000">
              <w:rPr>
                <w:rtl w:val="0"/>
              </w:rPr>
            </w:r>
          </w:p>
        </w:tc>
        <w:tc>
          <w:tcPr>
            <w:vAlign w:val="center"/>
          </w:tcPr>
          <w:p w:rsidR="00000000" w:rsidDel="00000000" w:rsidP="00000000" w:rsidRDefault="00000000" w:rsidRPr="00000000" w14:paraId="0000007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Potential harm / concern</w:t>
            </w:r>
            <w:r w:rsidDel="00000000" w:rsidR="00000000" w:rsidRPr="00000000">
              <w:rPr>
                <w:rtl w:val="0"/>
              </w:rPr>
            </w:r>
          </w:p>
        </w:tc>
        <w:tc>
          <w:tcPr>
            <w:vAlign w:val="center"/>
          </w:tcPr>
          <w:p w:rsidR="00000000" w:rsidDel="00000000" w:rsidP="00000000" w:rsidRDefault="00000000" w:rsidRPr="00000000" w14:paraId="0000007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Safeguard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Employees / network users</w:t>
            </w:r>
          </w:p>
        </w:tc>
        <w:tc>
          <w:tcPr>
            <w:vAlign w:val="center"/>
          </w:tcPr>
          <w:p w:rsidR="00000000" w:rsidDel="00000000" w:rsidP="00000000" w:rsidRDefault="00000000" w:rsidRPr="00000000" w14:paraId="0000007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Earlier detection of compromised accounts/devices and safer systems.</w:t>
            </w:r>
          </w:p>
        </w:tc>
        <w:tc>
          <w:tcPr>
            <w:vAlign w:val="center"/>
          </w:tcPr>
          <w:p w:rsidR="00000000" w:rsidDel="00000000" w:rsidP="00000000" w:rsidRDefault="00000000" w:rsidRPr="00000000" w14:paraId="0000007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Monitoring may feel intrusive; false alerts may incorrectly associate a user/device with suspicious behaviour.</w:t>
            </w:r>
          </w:p>
        </w:tc>
        <w:tc>
          <w:tcPr>
            <w:vAlign w:val="center"/>
          </w:tcPr>
          <w:p w:rsidR="00000000" w:rsidDel="00000000" w:rsidP="00000000" w:rsidRDefault="00000000" w:rsidRPr="00000000" w14:paraId="0000007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Purpose limitation, metadata minimisation, human review, no disciplinary inference from model score alone.</w:t>
            </w:r>
          </w:p>
        </w:tc>
      </w:tr>
      <w:tr>
        <w:trPr>
          <w:cantSplit w:val="1"/>
          <w:tblHeader w:val="0"/>
        </w:trPr>
        <w:tc>
          <w:tcPr>
            <w:vAlign w:val="center"/>
          </w:tcPr>
          <w:p w:rsidR="00000000" w:rsidDel="00000000" w:rsidP="00000000" w:rsidRDefault="00000000" w:rsidRPr="00000000" w14:paraId="0000008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analyst / administrator</w:t>
            </w:r>
          </w:p>
        </w:tc>
        <w:tc>
          <w:tcPr>
            <w:vAlign w:val="center"/>
          </w:tcPr>
          <w:p w:rsidR="00000000" w:rsidDel="00000000" w:rsidP="00000000" w:rsidRDefault="00000000" w:rsidRPr="00000000" w14:paraId="0000008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Prioritised alerts, model comparison and investigation context.</w:t>
            </w:r>
          </w:p>
        </w:tc>
        <w:tc>
          <w:tcPr>
            <w:vAlign w:val="center"/>
          </w:tcPr>
          <w:p w:rsidR="00000000" w:rsidDel="00000000" w:rsidP="00000000" w:rsidRDefault="00000000" w:rsidRPr="00000000" w14:paraId="0000008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Alert fatigue, explanation over-trust and pressure to treat anomaly as proof.</w:t>
            </w:r>
          </w:p>
        </w:tc>
        <w:tc>
          <w:tcPr>
            <w:vAlign w:val="center"/>
          </w:tcPr>
          <w:p w:rsidR="00000000" w:rsidDel="00000000" w:rsidP="00000000" w:rsidRDefault="00000000" w:rsidRPr="00000000" w14:paraId="0000008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FPR monitoring, severity/context, explanation caveats and escalation procedure.</w:t>
            </w:r>
          </w:p>
        </w:tc>
      </w:tr>
      <w:tr>
        <w:trPr>
          <w:cantSplit w:val="1"/>
          <w:tblHeader w:val="0"/>
        </w:trPr>
        <w:tc>
          <w:tcPr>
            <w:vAlign w:val="center"/>
          </w:tcPr>
          <w:p w:rsidR="00000000" w:rsidDel="00000000" w:rsidP="00000000" w:rsidRDefault="00000000" w:rsidRPr="00000000" w14:paraId="0000008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SME management</w:t>
            </w:r>
          </w:p>
        </w:tc>
        <w:tc>
          <w:tcPr>
            <w:vAlign w:val="center"/>
          </w:tcPr>
          <w:p w:rsidR="00000000" w:rsidDel="00000000" w:rsidP="00000000" w:rsidRDefault="00000000" w:rsidRPr="00000000" w14:paraId="0000008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Improved visibility of abnormal traffic and evidence for security decisions.</w:t>
            </w:r>
          </w:p>
        </w:tc>
        <w:tc>
          <w:tcPr>
            <w:vAlign w:val="center"/>
          </w:tcPr>
          <w:p w:rsidR="00000000" w:rsidDel="00000000" w:rsidP="00000000" w:rsidRDefault="00000000" w:rsidRPr="00000000" w14:paraId="0000008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confidence in a prototype or pressure to reduce alerts by weakening detection.</w:t>
            </w:r>
          </w:p>
        </w:tc>
        <w:tc>
          <w:tcPr>
            <w:vAlign w:val="center"/>
          </w:tcPr>
          <w:p w:rsidR="00000000" w:rsidDel="00000000" w:rsidP="00000000" w:rsidRDefault="00000000" w:rsidRPr="00000000" w14:paraId="0000008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Balanced metrics, documented limitations, change approval and periodic review.</w:t>
            </w:r>
          </w:p>
        </w:tc>
      </w:tr>
      <w:tr>
        <w:trPr>
          <w:cantSplit w:val="1"/>
          <w:tblHeader w:val="0"/>
        </w:trPr>
        <w:tc>
          <w:tcPr>
            <w:vAlign w:val="center"/>
          </w:tcPr>
          <w:p w:rsidR="00000000" w:rsidDel="00000000" w:rsidP="00000000" w:rsidRDefault="00000000" w:rsidRPr="00000000" w14:paraId="0000008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Clients / customers</w:t>
            </w:r>
          </w:p>
        </w:tc>
        <w:tc>
          <w:tcPr>
            <w:vAlign w:val="center"/>
          </w:tcPr>
          <w:p w:rsidR="00000000" w:rsidDel="00000000" w:rsidP="00000000" w:rsidRDefault="00000000" w:rsidRPr="00000000" w14:paraId="0000008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Reduced likelihood/duration of compromise affecting financial or personal information.</w:t>
            </w:r>
          </w:p>
        </w:tc>
        <w:tc>
          <w:tcPr>
            <w:vAlign w:val="center"/>
          </w:tcPr>
          <w:p w:rsidR="00000000" w:rsidDel="00000000" w:rsidP="00000000" w:rsidRDefault="00000000" w:rsidRPr="00000000" w14:paraId="0000008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Indirect privacy harm if logs or alerts are exposed; security failure can affect trust and finances.</w:t>
            </w:r>
          </w:p>
        </w:tc>
        <w:tc>
          <w:tcPr>
            <w:vAlign w:val="center"/>
          </w:tcPr>
          <w:p w:rsidR="00000000" w:rsidDel="00000000" w:rsidP="00000000" w:rsidRDefault="00000000" w:rsidRPr="00000000" w14:paraId="0000008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Protected logs, minimisation, breach response, appropriate retention and access controls.</w:t>
            </w:r>
          </w:p>
        </w:tc>
      </w:tr>
      <w:tr>
        <w:trPr>
          <w:cantSplit w:val="1"/>
          <w:tblHeader w:val="0"/>
        </w:trPr>
        <w:tc>
          <w:tcPr>
            <w:vAlign w:val="center"/>
          </w:tcPr>
          <w:p w:rsidR="00000000" w:rsidDel="00000000" w:rsidP="00000000" w:rsidRDefault="00000000" w:rsidRPr="00000000" w14:paraId="0000008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Managed service provider / external IT</w:t>
            </w:r>
          </w:p>
        </w:tc>
        <w:tc>
          <w:tcPr>
            <w:vAlign w:val="center"/>
          </w:tcPr>
          <w:p w:rsidR="00000000" w:rsidDel="00000000" w:rsidP="00000000" w:rsidRDefault="00000000" w:rsidRPr="00000000" w14:paraId="0000008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Repeatable telemetry and evidence for support.</w:t>
            </w:r>
          </w:p>
        </w:tc>
        <w:tc>
          <w:tcPr>
            <w:vAlign w:val="center"/>
          </w:tcPr>
          <w:p w:rsidR="00000000" w:rsidDel="00000000" w:rsidP="00000000" w:rsidRDefault="00000000" w:rsidRPr="00000000" w14:paraId="0000008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Excessive access to client telemetry or unclear accountability across organisations.</w:t>
            </w:r>
          </w:p>
        </w:tc>
        <w:tc>
          <w:tcPr>
            <w:vAlign w:val="center"/>
          </w:tcPr>
          <w:p w:rsidR="00000000" w:rsidDel="00000000" w:rsidP="00000000" w:rsidRDefault="00000000" w:rsidRPr="00000000" w14:paraId="0000008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Contractual roles, least privilege, access logging and responsibility matrix.</w:t>
            </w:r>
          </w:p>
        </w:tc>
      </w:tr>
      <w:tr>
        <w:trPr>
          <w:cantSplit w:val="1"/>
          <w:tblHeader w:val="0"/>
        </w:trPr>
        <w:tc>
          <w:tcPr>
            <w:vAlign w:val="center"/>
          </w:tcPr>
          <w:p w:rsidR="00000000" w:rsidDel="00000000" w:rsidP="00000000" w:rsidRDefault="00000000" w:rsidRPr="00000000" w14:paraId="0000009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Regulator / oversight body</w:t>
            </w:r>
          </w:p>
        </w:tc>
        <w:tc>
          <w:tcPr>
            <w:vAlign w:val="center"/>
          </w:tcPr>
          <w:p w:rsidR="00000000" w:rsidDel="00000000" w:rsidP="00000000" w:rsidRDefault="00000000" w:rsidRPr="00000000" w14:paraId="0000009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Better evidence of security governance and incident response.</w:t>
            </w:r>
          </w:p>
        </w:tc>
        <w:tc>
          <w:tcPr>
            <w:vAlign w:val="center"/>
          </w:tcPr>
          <w:p w:rsidR="00000000" w:rsidDel="00000000" w:rsidP="00000000" w:rsidRDefault="00000000" w:rsidRPr="00000000" w14:paraId="0000009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Misleading compliance claims if a prototype is presented as certified or production-ready.</w:t>
            </w:r>
          </w:p>
        </w:tc>
        <w:tc>
          <w:tcPr>
            <w:vAlign w:val="center"/>
          </w:tcPr>
          <w:p w:rsidR="00000000" w:rsidDel="00000000" w:rsidP="00000000" w:rsidRDefault="00000000" w:rsidRPr="00000000" w14:paraId="0000009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Accurate scope statements, evidence retention and no certification claim.</w:t>
            </w:r>
          </w:p>
        </w:tc>
      </w:tr>
      <w:tr>
        <w:trPr>
          <w:cantSplit w:val="1"/>
          <w:tblHeader w:val="0"/>
        </w:trPr>
        <w:tc>
          <w:tcPr>
            <w:vAlign w:val="center"/>
          </w:tcPr>
          <w:p w:rsidR="00000000" w:rsidDel="00000000" w:rsidP="00000000" w:rsidRDefault="00000000" w:rsidRPr="00000000" w14:paraId="0000009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team / maintainers</w:t>
            </w:r>
          </w:p>
        </w:tc>
        <w:tc>
          <w:tcPr>
            <w:vAlign w:val="center"/>
          </w:tcPr>
          <w:p w:rsidR="00000000" w:rsidDel="00000000" w:rsidP="00000000" w:rsidRDefault="00000000" w:rsidRPr="00000000" w14:paraId="0000009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Clear technical learning and reproducible research contribution.</w:t>
            </w:r>
          </w:p>
        </w:tc>
        <w:tc>
          <w:tcPr>
            <w:vAlign w:val="center"/>
          </w:tcPr>
          <w:p w:rsidR="00000000" w:rsidDel="00000000" w:rsidP="00000000" w:rsidRDefault="00000000" w:rsidRPr="00000000" w14:paraId="0000009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Academic integrity, licensing or overclaiming if evidence is weak.</w:t>
            </w:r>
          </w:p>
        </w:tc>
        <w:tc>
          <w:tcPr>
            <w:vAlign w:val="center"/>
          </w:tcPr>
          <w:p w:rsidR="00000000" w:rsidDel="00000000" w:rsidP="00000000" w:rsidRDefault="00000000" w:rsidRPr="00000000" w14:paraId="0000009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attribution, version control, honest negative-result reporting and peer review.</w:t>
            </w:r>
          </w:p>
        </w:tc>
      </w:tr>
    </w:tbl>
    <w:p w:rsidR="00000000" w:rsidDel="00000000" w:rsidP="00000000" w:rsidRDefault="00000000" w:rsidRPr="00000000" w14:paraId="0000009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24450" cy="3201631"/>
            <wp:effectExtent b="0" l="0" r="0" t="0"/>
            <wp:docPr id="1" name="image3.png"/>
            <a:graphic>
              <a:graphicData uri="http://schemas.openxmlformats.org/drawingml/2006/picture">
                <pic:pic>
                  <pic:nvPicPr>
                    <pic:cNvPr id="0" name="image3.png"/>
                    <pic:cNvPicPr preferRelativeResize="0"/>
                  </pic:nvPicPr>
                  <pic:blipFill>
                    <a:blip r:embed="rId7"/>
                    <a:srcRect b="12311" l="0" r="0" t="4351"/>
                    <a:stretch>
                      <a:fillRect/>
                    </a:stretch>
                  </pic:blipFill>
                  <pic:spPr>
                    <a:xfrm>
                      <a:off x="0" y="0"/>
                      <a:ext cx="5124450" cy="320163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2. Stakeholder impact and accountability model for an analyst-facing NIDS prototype.</w:t>
      </w:r>
    </w:p>
    <w:p w:rsidR="00000000" w:rsidDel="00000000" w:rsidP="00000000" w:rsidRDefault="00000000" w:rsidRPr="00000000" w14:paraId="0000009B">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Privacy and Data Protection Analysis</w:t>
      </w:r>
    </w:p>
    <w:p w:rsidR="00000000" w:rsidDel="00000000" w:rsidP="00000000" w:rsidRDefault="00000000" w:rsidRPr="00000000" w14:paraId="0000009C">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What Data the Prototype Handles</w:t>
      </w:r>
    </w:p>
    <w:tbl>
      <w:tblPr>
        <w:tblStyle w:val="Table3"/>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2655"/>
        <w:gridCol w:w="2985"/>
        <w:gridCol w:w="2535"/>
        <w:tblGridChange w:id="0">
          <w:tblGrid>
            <w:gridCol w:w="1965"/>
            <w:gridCol w:w="2655"/>
            <w:gridCol w:w="2985"/>
            <w:gridCol w:w="2535"/>
          </w:tblGrid>
        </w:tblGridChange>
      </w:tblGrid>
      <w:tr>
        <w:trPr>
          <w:cantSplit w:val="0"/>
          <w:tblHeader w:val="1"/>
        </w:trPr>
        <w:tc>
          <w:tcPr>
            <w:vAlign w:val="center"/>
          </w:tcPr>
          <w:p w:rsidR="00000000" w:rsidDel="00000000" w:rsidP="00000000" w:rsidRDefault="00000000" w:rsidRPr="00000000" w14:paraId="0000009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Data / artefact</w:t>
            </w:r>
            <w:r w:rsidDel="00000000" w:rsidR="00000000" w:rsidRPr="00000000">
              <w:rPr>
                <w:rtl w:val="0"/>
              </w:rPr>
            </w:r>
          </w:p>
        </w:tc>
        <w:tc>
          <w:tcPr>
            <w:vAlign w:val="center"/>
          </w:tcPr>
          <w:p w:rsidR="00000000" w:rsidDel="00000000" w:rsidP="00000000" w:rsidRDefault="00000000" w:rsidRPr="00000000" w14:paraId="0000009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Examples</w:t>
            </w:r>
            <w:r w:rsidDel="00000000" w:rsidR="00000000" w:rsidRPr="00000000">
              <w:rPr>
                <w:rtl w:val="0"/>
              </w:rPr>
            </w:r>
          </w:p>
        </w:tc>
        <w:tc>
          <w:tcPr>
            <w:vAlign w:val="center"/>
          </w:tcPr>
          <w:p w:rsidR="00000000" w:rsidDel="00000000" w:rsidP="00000000" w:rsidRDefault="00000000" w:rsidRPr="00000000" w14:paraId="0000009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Privacy significance</w:t>
            </w:r>
            <w:r w:rsidDel="00000000" w:rsidR="00000000" w:rsidRPr="00000000">
              <w:rPr>
                <w:rtl w:val="0"/>
              </w:rPr>
            </w:r>
          </w:p>
        </w:tc>
        <w:tc>
          <w:tcPr>
            <w:vAlign w:val="center"/>
          </w:tcPr>
          <w:p w:rsidR="00000000" w:rsidDel="00000000" w:rsidP="00000000" w:rsidRDefault="00000000" w:rsidRPr="00000000" w14:paraId="000000A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Public benchmark records</w:t>
            </w:r>
          </w:p>
        </w:tc>
        <w:tc>
          <w:tcPr>
            <w:vAlign w:val="center"/>
          </w:tcPr>
          <w:p w:rsidR="00000000" w:rsidDel="00000000" w:rsidP="00000000" w:rsidRDefault="00000000" w:rsidRPr="00000000" w14:paraId="000000A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UNSW-NB15 and NF-CSE-CIC-IDS2018-v2 flow features and labels.</w:t>
            </w:r>
          </w:p>
        </w:tc>
        <w:tc>
          <w:tcPr>
            <w:vAlign w:val="center"/>
          </w:tcPr>
          <w:p w:rsidR="00000000" w:rsidDel="00000000" w:rsidP="00000000" w:rsidRDefault="00000000" w:rsidRPr="00000000" w14:paraId="000000A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Third-party research data; may have licence/use conditions even when not personal to project participants.</w:t>
            </w:r>
          </w:p>
        </w:tc>
        <w:tc>
          <w:tcPr>
            <w:vAlign w:val="center"/>
          </w:tcPr>
          <w:p w:rsidR="00000000" w:rsidDel="00000000" w:rsidP="00000000" w:rsidRDefault="00000000" w:rsidRPr="00000000" w14:paraId="000000A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Cite/link source datasets; do not treat them as project-owned data.</w:t>
            </w:r>
          </w:p>
        </w:tc>
      </w:tr>
      <w:tr>
        <w:trPr>
          <w:cantSplit w:val="1"/>
          <w:tblHeader w:val="0"/>
        </w:trPr>
        <w:tc>
          <w:tcPr>
            <w:vAlign w:val="center"/>
          </w:tcPr>
          <w:p w:rsidR="00000000" w:rsidDel="00000000" w:rsidP="00000000" w:rsidRDefault="00000000" w:rsidRPr="00000000" w14:paraId="000000A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 connection/protocol logs</w:t>
            </w:r>
          </w:p>
        </w:tc>
        <w:tc>
          <w:tcPr>
            <w:vAlign w:val="center"/>
          </w:tcPr>
          <w:p w:rsidR="00000000" w:rsidDel="00000000" w:rsidP="00000000" w:rsidRDefault="00000000" w:rsidRPr="00000000" w14:paraId="000000A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IP addresses, ports, timestamps, service/protocol, connection state, byte/packet counts.</w:t>
            </w:r>
          </w:p>
        </w:tc>
        <w:tc>
          <w:tcPr>
            <w:vAlign w:val="center"/>
          </w:tcPr>
          <w:p w:rsidR="00000000" w:rsidDel="00000000" w:rsidP="00000000" w:rsidRDefault="00000000" w:rsidRPr="00000000" w14:paraId="000000A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 reveal devices, communication patterns or user-associated activity; may become personal information depending on context.</w:t>
            </w:r>
          </w:p>
        </w:tc>
        <w:tc>
          <w:tcPr>
            <w:vAlign w:val="center"/>
          </w:tcPr>
          <w:p w:rsidR="00000000" w:rsidDel="00000000" w:rsidP="00000000" w:rsidRDefault="00000000" w:rsidRPr="00000000" w14:paraId="000000A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only required fields; restrict access and avoid unnecessary payload content.</w:t>
            </w:r>
          </w:p>
        </w:tc>
      </w:tr>
      <w:tr>
        <w:trPr>
          <w:cantSplit w:val="1"/>
          <w:tblHeader w:val="0"/>
        </w:trPr>
        <w:tc>
          <w:tcPr>
            <w:vAlign w:val="center"/>
          </w:tcPr>
          <w:p w:rsidR="00000000" w:rsidDel="00000000" w:rsidP="00000000" w:rsidRDefault="00000000" w:rsidRPr="00000000" w14:paraId="000000A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PCAP evidence</w:t>
            </w:r>
          </w:p>
        </w:tc>
        <w:tc>
          <w:tcPr>
            <w:vAlign w:val="center"/>
          </w:tcPr>
          <w:p w:rsidR="00000000" w:rsidDel="00000000" w:rsidP="00000000" w:rsidRDefault="00000000" w:rsidRPr="00000000" w14:paraId="000000A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Packet captures retained for controlled lab verification.</w:t>
            </w:r>
          </w:p>
        </w:tc>
        <w:tc>
          <w:tcPr>
            <w:vAlign w:val="center"/>
          </w:tcPr>
          <w:p w:rsidR="00000000" w:rsidDel="00000000" w:rsidP="00000000" w:rsidRDefault="00000000" w:rsidRPr="00000000" w14:paraId="000000A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Potentially more sensitive than derived metadata because packet content/header detail may be present.</w:t>
            </w:r>
          </w:p>
        </w:tc>
        <w:tc>
          <w:tcPr>
            <w:vAlign w:val="center"/>
          </w:tcPr>
          <w:p w:rsidR="00000000" w:rsidDel="00000000" w:rsidP="00000000" w:rsidRDefault="00000000" w:rsidRPr="00000000" w14:paraId="000000A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Lab-only evidence; tighter access/retention than ordinary derived features.</w:t>
            </w:r>
          </w:p>
        </w:tc>
      </w:tr>
      <w:tr>
        <w:trPr>
          <w:cantSplit w:val="1"/>
          <w:tblHeader w:val="0"/>
        </w:trPr>
        <w:tc>
          <w:tcPr>
            <w:vAlign w:val="center"/>
          </w:tcPr>
          <w:p w:rsidR="00000000" w:rsidDel="00000000" w:rsidP="00000000" w:rsidRDefault="00000000" w:rsidRPr="00000000" w14:paraId="000000A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Model-ready features</w:t>
            </w:r>
          </w:p>
        </w:tc>
        <w:tc>
          <w:tcPr>
            <w:vAlign w:val="center"/>
          </w:tcPr>
          <w:p w:rsidR="00000000" w:rsidDel="00000000" w:rsidP="00000000" w:rsidRDefault="00000000" w:rsidRPr="00000000" w14:paraId="000000A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portable fields expanded to 41 numeric columns.</w:t>
            </w:r>
          </w:p>
        </w:tc>
        <w:tc>
          <w:tcPr>
            <w:vAlign w:val="center"/>
          </w:tcPr>
          <w:p w:rsidR="00000000" w:rsidDel="00000000" w:rsidP="00000000" w:rsidRDefault="00000000" w:rsidRPr="00000000" w14:paraId="000000A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Lower direct identifiability than raw logs but still derived from monitored activity.</w:t>
            </w:r>
          </w:p>
        </w:tc>
        <w:tc>
          <w:tcPr>
            <w:vAlign w:val="center"/>
          </w:tcPr>
          <w:p w:rsidR="00000000" w:rsidDel="00000000" w:rsidP="00000000" w:rsidRDefault="00000000" w:rsidRPr="00000000" w14:paraId="000000B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for detection/evaluation; retain provenance without unnecessary identifiers.</w:t>
            </w:r>
          </w:p>
        </w:tc>
      </w:tr>
      <w:tr>
        <w:trPr>
          <w:cantSplit w:val="1"/>
          <w:tblHeader w:val="0"/>
        </w:trPr>
        <w:tc>
          <w:tcPr>
            <w:vAlign w:val="center"/>
          </w:tcPr>
          <w:p w:rsidR="00000000" w:rsidDel="00000000" w:rsidP="00000000" w:rsidRDefault="00000000" w:rsidRPr="00000000" w14:paraId="000000B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Alerts / SQLite records</w:t>
            </w:r>
          </w:p>
        </w:tc>
        <w:tc>
          <w:tcPr>
            <w:vAlign w:val="center"/>
          </w:tcPr>
          <w:p w:rsidR="00000000" w:rsidDel="00000000" w:rsidP="00000000" w:rsidRDefault="00000000" w:rsidRPr="00000000" w14:paraId="000000B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score, threshold, severity, source/destination context, timestamp.</w:t>
            </w:r>
          </w:p>
        </w:tc>
        <w:tc>
          <w:tcPr>
            <w:vAlign w:val="center"/>
          </w:tcPr>
          <w:p w:rsidR="00000000" w:rsidDel="00000000" w:rsidP="00000000" w:rsidRDefault="00000000" w:rsidRPr="00000000" w14:paraId="000000B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 create persistent records about devices/users and may influence investigation.</w:t>
            </w:r>
          </w:p>
        </w:tc>
        <w:tc>
          <w:tcPr>
            <w:vAlign w:val="center"/>
          </w:tcPr>
          <w:p w:rsidR="00000000" w:rsidDel="00000000" w:rsidP="00000000" w:rsidRDefault="00000000" w:rsidRPr="00000000" w14:paraId="000000B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Access-controlled, auditable and subject to retention rules in production.</w:t>
            </w:r>
          </w:p>
        </w:tc>
      </w:tr>
      <w:tr>
        <w:trPr>
          <w:cantSplit w:val="1"/>
          <w:tblHeader w:val="0"/>
        </w:trPr>
        <w:tc>
          <w:tcPr>
            <w:vAlign w:val="center"/>
          </w:tcPr>
          <w:p w:rsidR="00000000" w:rsidDel="00000000" w:rsidP="00000000" w:rsidRDefault="00000000" w:rsidRPr="00000000" w14:paraId="000000B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Explanations</w:t>
            </w:r>
          </w:p>
        </w:tc>
        <w:tc>
          <w:tcPr>
            <w:vAlign w:val="center"/>
          </w:tcPr>
          <w:p w:rsidR="00000000" w:rsidDel="00000000" w:rsidP="00000000" w:rsidRDefault="00000000" w:rsidRPr="00000000" w14:paraId="000000B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Score/threshold context; SHAP attribution or reconstruction residuals where independently implemented and evidenced.</w:t>
            </w:r>
          </w:p>
        </w:tc>
        <w:tc>
          <w:tcPr>
            <w:vAlign w:val="center"/>
          </w:tcPr>
          <w:p w:rsidR="00000000" w:rsidDel="00000000" w:rsidP="00000000" w:rsidRDefault="00000000" w:rsidRPr="00000000" w14:paraId="000000B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May expose behavioural characteristics or be misread as causal proof.</w:t>
            </w:r>
          </w:p>
        </w:tc>
        <w:tc>
          <w:tcPr>
            <w:vAlign w:val="center"/>
          </w:tcPr>
          <w:p w:rsidR="00000000" w:rsidDel="00000000" w:rsidP="00000000" w:rsidRDefault="00000000" w:rsidRPr="00000000" w14:paraId="000000B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Present as model evidence, not factual attribution of intent.</w:t>
            </w:r>
          </w:p>
        </w:tc>
      </w:tr>
    </w:tbl>
    <w:p w:rsidR="00000000" w:rsidDel="00000000" w:rsidP="00000000" w:rsidRDefault="00000000" w:rsidRPr="00000000" w14:paraId="000000B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Privacy Act Applicability is Conditional</w:t>
      </w:r>
    </w:p>
    <w:p w:rsidR="00000000" w:rsidDel="00000000" w:rsidP="00000000" w:rsidRDefault="00000000" w:rsidRPr="00000000" w14:paraId="000000BB">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Privacy Act 1988 does not automatically apply to every business described as an SME. OAIC guidance states that most small businesses with annual turnover of $3 million or less are not covered, but important exceptions apply. Examples include some health providers, businesses that trade in personal information, Commonwealth contractors, credit-reporting/credit-provider activities and reporting entities for AML/CTF purposes. This is particularly relevant to a financial-services scenario because a small firm may still fall within Privacy Act obligations because of what it does, not simply because of turnover (OAIC n.d.-a; OAIC 2026a).</w:t>
      </w:r>
      <w:r w:rsidDel="00000000" w:rsidR="00000000" w:rsidRPr="00000000">
        <w:rPr>
          <w:rtl w:val="0"/>
        </w:rPr>
      </w:r>
    </w:p>
    <w:p w:rsidR="00000000" w:rsidDel="00000000" w:rsidP="00000000" w:rsidRDefault="00000000" w:rsidRPr="00000000" w14:paraId="000000BC">
      <w:pPr>
        <w:spacing w:after="80" w:before="0" w:line="246.99999999999994" w:lineRule="auto"/>
        <w:rPr>
          <w:rFonts w:ascii="Times New Roman" w:cs="Times New Roman" w:eastAsia="Times New Roman" w:hAnsi="Times New Roman"/>
          <w:i w:val="0"/>
          <w:iCs w:val="0"/>
          <w:sz w:val="22"/>
          <w:szCs w:val="22"/>
        </w:rPr>
      </w:pPr>
      <w:r w:rsidDel="00000000" w:rsidR="00000000" w:rsidRPr="00000000">
        <w:rPr>
          <w:rFonts w:ascii="Times New Roman" w:cs="Times New Roman" w:eastAsia="Times New Roman" w:hAnsi="Times New Roman"/>
          <w:i w:val="0"/>
          <w:iCs w:val="0"/>
          <w:sz w:val="22"/>
          <w:szCs w:val="22"/>
          <w:rtl w:val="0"/>
        </w:rPr>
        <w:t xml:space="preserve">The project therefore does not claim that every target SME is an APP entity. A real deployment should first determine the organisation’s legal status, business activities, types of information handled and any sector-specific duties. Privacy-by-design controls remain sensible even where a statutory exemption applies, because logs can still cause customer, employee and reputational harm if misused or exposed.</w:t>
      </w:r>
    </w:p>
    <w:p w:rsidR="00000000" w:rsidDel="00000000" w:rsidP="00000000" w:rsidRDefault="00000000" w:rsidRPr="00000000" w14:paraId="000000BD">
      <w:pPr>
        <w:spacing w:after="80" w:before="0" w:line="246.99999999999994"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Australian Privacy Principles Most Relevant to Deployment</w:t>
      </w:r>
    </w:p>
    <w:tbl>
      <w:tblPr>
        <w:tblStyle w:val="Table4"/>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4140"/>
        <w:gridCol w:w="3900"/>
        <w:tblGridChange w:id="0">
          <w:tblGrid>
            <w:gridCol w:w="2130"/>
            <w:gridCol w:w="4140"/>
            <w:gridCol w:w="3900"/>
          </w:tblGrid>
        </w:tblGridChange>
      </w:tblGrid>
      <w:tr>
        <w:trPr>
          <w:cantSplit w:val="0"/>
          <w:tblHeader w:val="1"/>
        </w:trPr>
        <w:tc>
          <w:tcPr>
            <w:vAlign w:val="center"/>
          </w:tcPr>
          <w:p w:rsidR="00000000" w:rsidDel="00000000" w:rsidP="00000000" w:rsidRDefault="00000000" w:rsidRPr="00000000" w14:paraId="000000B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APP / area</w:t>
            </w:r>
            <w:r w:rsidDel="00000000" w:rsidR="00000000" w:rsidRPr="00000000">
              <w:rPr>
                <w:rtl w:val="0"/>
              </w:rPr>
            </w:r>
          </w:p>
        </w:tc>
        <w:tc>
          <w:tcPr>
            <w:vAlign w:val="center"/>
          </w:tcPr>
          <w:p w:rsidR="00000000" w:rsidDel="00000000" w:rsidP="00000000" w:rsidRDefault="00000000" w:rsidRPr="00000000" w14:paraId="000000C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Relevance to this project</w:t>
            </w:r>
            <w:r w:rsidDel="00000000" w:rsidR="00000000" w:rsidRPr="00000000">
              <w:rPr>
                <w:rtl w:val="0"/>
              </w:rPr>
            </w:r>
          </w:p>
        </w:tc>
        <w:tc>
          <w:tcPr>
            <w:vAlign w:val="center"/>
          </w:tcPr>
          <w:p w:rsidR="00000000" w:rsidDel="00000000" w:rsidP="00000000" w:rsidRDefault="00000000" w:rsidRPr="00000000" w14:paraId="000000C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Practical implication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1 - open and transparent management</w:t>
            </w:r>
          </w:p>
        </w:tc>
        <w:tc>
          <w:tcPr>
            <w:vAlign w:val="center"/>
          </w:tcPr>
          <w:p w:rsidR="00000000" w:rsidDel="00000000" w:rsidP="00000000" w:rsidRDefault="00000000" w:rsidRPr="00000000" w14:paraId="000000C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Monitoring should be governed by clear practices, responsibilities and documented purposes.</w:t>
            </w:r>
          </w:p>
        </w:tc>
        <w:tc>
          <w:tcPr>
            <w:vAlign w:val="center"/>
          </w:tcPr>
          <w:p w:rsidR="00000000" w:rsidDel="00000000" w:rsidP="00000000" w:rsidRDefault="00000000" w:rsidRPr="00000000" w14:paraId="000000C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Maintain monitoring/privacy documentation and explain what telemetry is collected and why.</w:t>
            </w:r>
          </w:p>
        </w:tc>
      </w:tr>
      <w:tr>
        <w:trPr>
          <w:cantSplit w:val="1"/>
          <w:tblHeader w:val="0"/>
        </w:trPr>
        <w:tc>
          <w:tcPr>
            <w:vAlign w:val="center"/>
          </w:tcPr>
          <w:p w:rsidR="00000000" w:rsidDel="00000000" w:rsidP="00000000" w:rsidRDefault="00000000" w:rsidRPr="00000000" w14:paraId="000000C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3 - collection</w:t>
            </w:r>
          </w:p>
        </w:tc>
        <w:tc>
          <w:tcPr>
            <w:vAlign w:val="center"/>
          </w:tcPr>
          <w:p w:rsidR="00000000" w:rsidDel="00000000" w:rsidP="00000000" w:rsidRDefault="00000000" w:rsidRPr="00000000" w14:paraId="000000C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logs contain personal information, collection should be reasonably necessary for the entity’s functions/activities where the APP applies.</w:t>
            </w:r>
          </w:p>
        </w:tc>
        <w:tc>
          <w:tcPr>
            <w:vAlign w:val="center"/>
          </w:tcPr>
          <w:p w:rsidR="00000000" w:rsidDel="00000000" w:rsidP="00000000" w:rsidRDefault="00000000" w:rsidRPr="00000000" w14:paraId="000000C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Limit fields to the detection purpose; avoid speculative collection.</w:t>
            </w:r>
          </w:p>
        </w:tc>
      </w:tr>
      <w:tr>
        <w:trPr>
          <w:cantSplit w:val="1"/>
          <w:tblHeader w:val="0"/>
        </w:trPr>
        <w:tc>
          <w:tcPr>
            <w:vAlign w:val="center"/>
          </w:tcPr>
          <w:p w:rsidR="00000000" w:rsidDel="00000000" w:rsidP="00000000" w:rsidRDefault="00000000" w:rsidRPr="00000000" w14:paraId="000000C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5 - notification</w:t>
            </w:r>
          </w:p>
        </w:tc>
        <w:tc>
          <w:tcPr>
            <w:vAlign w:val="center"/>
          </w:tcPr>
          <w:p w:rsidR="00000000" w:rsidDel="00000000" w:rsidP="00000000" w:rsidRDefault="00000000" w:rsidRPr="00000000" w14:paraId="000000C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Collection practices may require appropriate notice depending on context and legal basis.</w:t>
            </w:r>
          </w:p>
        </w:tc>
        <w:tc>
          <w:tcPr>
            <w:vAlign w:val="center"/>
          </w:tcPr>
          <w:p w:rsidR="00000000" w:rsidDel="00000000" w:rsidP="00000000" w:rsidRDefault="00000000" w:rsidRPr="00000000" w14:paraId="000000C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Align employee/customer-facing notices and policies with actual monitoring.</w:t>
            </w:r>
          </w:p>
        </w:tc>
      </w:tr>
      <w:tr>
        <w:trPr>
          <w:cantSplit w:val="1"/>
          <w:tblHeader w:val="0"/>
        </w:trPr>
        <w:tc>
          <w:tcPr>
            <w:vAlign w:val="center"/>
          </w:tcPr>
          <w:p w:rsidR="00000000" w:rsidDel="00000000" w:rsidP="00000000" w:rsidRDefault="00000000" w:rsidRPr="00000000" w14:paraId="000000C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6 - use/disclosure</w:t>
            </w:r>
          </w:p>
        </w:tc>
        <w:tc>
          <w:tcPr>
            <w:vAlign w:val="center"/>
          </w:tcPr>
          <w:p w:rsidR="00000000" w:rsidDel="00000000" w:rsidP="00000000" w:rsidRDefault="00000000" w:rsidRPr="00000000" w14:paraId="000000C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Telemetry collected for security should not drift into unrelated uses without authority.</w:t>
            </w:r>
          </w:p>
        </w:tc>
        <w:tc>
          <w:tcPr>
            <w:vAlign w:val="center"/>
          </w:tcPr>
          <w:p w:rsidR="00000000" w:rsidDel="00000000" w:rsidP="00000000" w:rsidRDefault="00000000" w:rsidRPr="00000000" w14:paraId="000000C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Prevent function creep; define permitted secondary use and sharing.</w:t>
            </w:r>
          </w:p>
        </w:tc>
      </w:tr>
      <w:tr>
        <w:trPr>
          <w:cantSplit w:val="1"/>
          <w:tblHeader w:val="0"/>
        </w:trPr>
        <w:tc>
          <w:tcPr>
            <w:vAlign w:val="center"/>
          </w:tcPr>
          <w:p w:rsidR="00000000" w:rsidDel="00000000" w:rsidP="00000000" w:rsidRDefault="00000000" w:rsidRPr="00000000" w14:paraId="000000C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8 - cross-border disclosure</w:t>
            </w:r>
          </w:p>
        </w:tc>
        <w:tc>
          <w:tcPr>
            <w:vAlign w:val="center"/>
          </w:tcPr>
          <w:p w:rsidR="00000000" w:rsidDel="00000000" w:rsidP="00000000" w:rsidRDefault="00000000" w:rsidRPr="00000000" w14:paraId="000000C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Relevant if cloud or external services make personal information available overseas.</w:t>
            </w:r>
          </w:p>
        </w:tc>
        <w:tc>
          <w:tcPr>
            <w:vAlign w:val="center"/>
          </w:tcPr>
          <w:p w:rsidR="00000000" w:rsidDel="00000000" w:rsidP="00000000" w:rsidRDefault="00000000" w:rsidRPr="00000000" w14:paraId="000000D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Assess service locations/contract terms before using external storage or SaaS in production.</w:t>
            </w:r>
          </w:p>
        </w:tc>
      </w:tr>
      <w:tr>
        <w:trPr>
          <w:cantSplit w:val="1"/>
          <w:tblHeader w:val="0"/>
        </w:trPr>
        <w:tc>
          <w:tcPr>
            <w:vAlign w:val="center"/>
          </w:tcPr>
          <w:p w:rsidR="00000000" w:rsidDel="00000000" w:rsidP="00000000" w:rsidRDefault="00000000" w:rsidRPr="00000000" w14:paraId="000000D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11 - security &amp; lifecycle</w:t>
            </w:r>
          </w:p>
        </w:tc>
        <w:tc>
          <w:tcPr>
            <w:vAlign w:val="center"/>
          </w:tcPr>
          <w:p w:rsidR="00000000" w:rsidDel="00000000" w:rsidP="00000000" w:rsidRDefault="00000000" w:rsidRPr="00000000" w14:paraId="000000D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Covered entities must take reasonable steps to protect personal information and destroy/de-identify it when no longer needed, subject to exceptions.</w:t>
            </w:r>
          </w:p>
        </w:tc>
        <w:tc>
          <w:tcPr>
            <w:vAlign w:val="center"/>
          </w:tcPr>
          <w:p w:rsidR="00000000" w:rsidDel="00000000" w:rsidP="00000000" w:rsidRDefault="00000000" w:rsidRPr="00000000" w14:paraId="000000D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 logs/alerts, restrict access, back up appropriately and define retention/deletion.</w:t>
            </w:r>
          </w:p>
        </w:tc>
      </w:tr>
      <w:tr>
        <w:trPr>
          <w:cantSplit w:val="1"/>
          <w:tblHeader w:val="0"/>
        </w:trPr>
        <w:tc>
          <w:tcPr>
            <w:vAlign w:val="center"/>
          </w:tcPr>
          <w:p w:rsidR="00000000" w:rsidDel="00000000" w:rsidP="00000000" w:rsidRDefault="00000000" w:rsidRPr="00000000" w14:paraId="000000D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12/13 - access/correction</w:t>
            </w:r>
          </w:p>
        </w:tc>
        <w:tc>
          <w:tcPr>
            <w:vAlign w:val="center"/>
          </w:tcPr>
          <w:p w:rsidR="00000000" w:rsidDel="00000000" w:rsidP="00000000" w:rsidRDefault="00000000" w:rsidRPr="00000000" w14:paraId="000000D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May become relevant if monitoring records constitute personal information held about an identifiable individual.</w:t>
            </w:r>
          </w:p>
        </w:tc>
        <w:tc>
          <w:tcPr>
            <w:vAlign w:val="center"/>
          </w:tcPr>
          <w:p w:rsidR="00000000" w:rsidDel="00000000" w:rsidP="00000000" w:rsidRDefault="00000000" w:rsidRPr="00000000" w14:paraId="000000D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Have a process to handle applicable requests without corrupting security evidence.</w:t>
            </w:r>
          </w:p>
        </w:tc>
      </w:tr>
    </w:tbl>
    <w:p w:rsidR="00000000" w:rsidDel="00000000" w:rsidP="00000000" w:rsidRDefault="00000000" w:rsidRPr="00000000" w14:paraId="000000D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APP 11 is especially relevant because the OAIC states that an APP entity must take reasonable steps to protect personal information from misuse, interference, loss and unauthorised access, modification or disclosure, and must take reasonable steps to destroy or de-identify personal information when it is no longer needed, subject to statutory exceptions (OAIC 2025a).</w:t>
      </w:r>
      <w:r w:rsidDel="00000000" w:rsidR="00000000" w:rsidRPr="00000000">
        <w:rPr>
          <w:rtl w:val="0"/>
        </w:rPr>
      </w:r>
    </w:p>
    <w:p w:rsidR="00000000" w:rsidDel="00000000" w:rsidP="00000000" w:rsidRDefault="00000000" w:rsidRPr="00000000" w14:paraId="000000D9">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Notifiable Data Breaches</w:t>
      </w:r>
    </w:p>
    <w:p w:rsidR="00000000" w:rsidDel="00000000" w:rsidP="00000000" w:rsidRDefault="00000000" w:rsidRPr="00000000" w14:paraId="000000DA">
      <w:pPr>
        <w:spacing w:after="80" w:before="0" w:line="246.9999999999999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sz w:val="22"/>
          <w:szCs w:val="22"/>
          <w:rtl w:val="0"/>
        </w:rPr>
        <w:t xml:space="preserve">The NDB scheme applies to entities that already have Privacy Act security obligations. An eligible data breach generally involves unauthorised access/disclosure or loss of personal information where serious harm is likely and remedial action has not prevented that likely harm. For a future deployment, compromise of logs, alert databases or captured traffic could therefore be relevant if the affected records contain personal information and the organisation is covered. The operational response should preserve evidence, contain the incident, assess likely harm and follow required notification processes where applicable (OAIC 2025b; OAIC 2026b).</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Privacy-by-Design Controls</w:t>
      </w:r>
    </w:p>
    <w:tbl>
      <w:tblPr>
        <w:tblStyle w:val="Table5"/>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2655"/>
        <w:gridCol w:w="2805"/>
        <w:gridCol w:w="3015"/>
        <w:tblGridChange w:id="0">
          <w:tblGrid>
            <w:gridCol w:w="1665"/>
            <w:gridCol w:w="2655"/>
            <w:gridCol w:w="2805"/>
            <w:gridCol w:w="3015"/>
          </w:tblGrid>
        </w:tblGridChange>
      </w:tblGrid>
      <w:tr>
        <w:trPr>
          <w:cantSplit w:val="0"/>
          <w:tblHeader w:val="1"/>
        </w:trPr>
        <w:tc>
          <w:tcPr>
            <w:vAlign w:val="center"/>
          </w:tcPr>
          <w:p w:rsidR="00000000" w:rsidDel="00000000" w:rsidP="00000000" w:rsidRDefault="00000000" w:rsidRPr="00000000" w14:paraId="000000D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Lifecycle stage</w:t>
            </w:r>
            <w:r w:rsidDel="00000000" w:rsidR="00000000" w:rsidRPr="00000000">
              <w:rPr>
                <w:rtl w:val="0"/>
              </w:rPr>
            </w:r>
          </w:p>
        </w:tc>
        <w:tc>
          <w:tcPr>
            <w:vAlign w:val="center"/>
          </w:tcPr>
          <w:p w:rsidR="00000000" w:rsidDel="00000000" w:rsidP="00000000" w:rsidRDefault="00000000" w:rsidRPr="00000000" w14:paraId="000000D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Ethical/privacy control</w:t>
            </w:r>
            <w:r w:rsidDel="00000000" w:rsidR="00000000" w:rsidRPr="00000000">
              <w:rPr>
                <w:rtl w:val="0"/>
              </w:rPr>
            </w:r>
          </w:p>
        </w:tc>
        <w:tc>
          <w:tcPr>
            <w:vAlign w:val="center"/>
          </w:tcPr>
          <w:p w:rsidR="00000000" w:rsidDel="00000000" w:rsidP="00000000" w:rsidRDefault="00000000" w:rsidRPr="00000000" w14:paraId="000000D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Current prototype</w:t>
            </w:r>
            <w:r w:rsidDel="00000000" w:rsidR="00000000" w:rsidRPr="00000000">
              <w:rPr>
                <w:rtl w:val="0"/>
              </w:rPr>
            </w:r>
          </w:p>
        </w:tc>
        <w:tc>
          <w:tcPr>
            <w:vAlign w:val="center"/>
          </w:tcPr>
          <w:p w:rsidR="00000000" w:rsidDel="00000000" w:rsidP="00000000" w:rsidRDefault="00000000" w:rsidRPr="00000000" w14:paraId="000000E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Production expectation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Collection</w:t>
            </w:r>
          </w:p>
        </w:tc>
        <w:tc>
          <w:tcPr>
            <w:vAlign w:val="center"/>
          </w:tcPr>
          <w:p w:rsidR="00000000" w:rsidDel="00000000" w:rsidP="00000000" w:rsidRDefault="00000000" w:rsidRPr="00000000" w14:paraId="000000E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Purpose limitation and field minimisation.</w:t>
            </w:r>
          </w:p>
        </w:tc>
        <w:tc>
          <w:tcPr>
            <w:vAlign w:val="center"/>
          </w:tcPr>
          <w:p w:rsidR="00000000" w:rsidDel="00000000" w:rsidP="00000000" w:rsidRDefault="00000000" w:rsidRPr="00000000" w14:paraId="000000E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Uses flow/log characteristics; no real customer financial records.</w:t>
            </w:r>
          </w:p>
        </w:tc>
        <w:tc>
          <w:tcPr>
            <w:vAlign w:val="center"/>
          </w:tcPr>
          <w:p w:rsidR="00000000" w:rsidDel="00000000" w:rsidP="00000000" w:rsidRDefault="00000000" w:rsidRPr="00000000" w14:paraId="000000E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lawful authority, notices and approved data inventory.</w:t>
            </w:r>
          </w:p>
        </w:tc>
      </w:tr>
      <w:tr>
        <w:trPr>
          <w:cantSplit w:val="1"/>
          <w:tblHeader w:val="0"/>
        </w:trPr>
        <w:tc>
          <w:tcPr>
            <w:vAlign w:val="center"/>
          </w:tcPr>
          <w:p w:rsidR="00000000" w:rsidDel="00000000" w:rsidP="00000000" w:rsidRDefault="00000000" w:rsidRPr="00000000" w14:paraId="000000E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Transformation</w:t>
            </w:r>
          </w:p>
        </w:tc>
        <w:tc>
          <w:tcPr>
            <w:vAlign w:val="center"/>
          </w:tcPr>
          <w:p w:rsidR="00000000" w:rsidDel="00000000" w:rsidP="00000000" w:rsidRDefault="00000000" w:rsidRPr="00000000" w14:paraId="000000E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Separate identifiers from model features where not required.</w:t>
            </w:r>
          </w:p>
        </w:tc>
        <w:tc>
          <w:tcPr>
            <w:vAlign w:val="center"/>
          </w:tcPr>
          <w:p w:rsidR="00000000" w:rsidDel="00000000" w:rsidP="00000000" w:rsidRDefault="00000000" w:rsidRPr="00000000" w14:paraId="000000E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Portable feature pipeline reduces dependence on direct identity fields.</w:t>
            </w:r>
          </w:p>
        </w:tc>
        <w:tc>
          <w:tcPr>
            <w:vAlign w:val="center"/>
          </w:tcPr>
          <w:p w:rsidR="00000000" w:rsidDel="00000000" w:rsidP="00000000" w:rsidRDefault="00000000" w:rsidRPr="00000000" w14:paraId="000000E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pseudonymisation/tokenisation where operationally feasible.</w:t>
            </w:r>
          </w:p>
        </w:tc>
      </w:tr>
      <w:tr>
        <w:trPr>
          <w:cantSplit w:val="1"/>
          <w:tblHeader w:val="0"/>
        </w:trPr>
        <w:tc>
          <w:tcPr>
            <w:vAlign w:val="center"/>
          </w:tcPr>
          <w:p w:rsidR="00000000" w:rsidDel="00000000" w:rsidP="00000000" w:rsidRDefault="00000000" w:rsidRPr="00000000" w14:paraId="000000E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Storage</w:t>
            </w:r>
          </w:p>
        </w:tc>
        <w:tc>
          <w:tcPr>
            <w:vAlign w:val="center"/>
          </w:tcPr>
          <w:p w:rsidR="00000000" w:rsidDel="00000000" w:rsidP="00000000" w:rsidRDefault="00000000" w:rsidRPr="00000000" w14:paraId="000000E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 logs, PCAPs, database and model evidence.</w:t>
            </w:r>
          </w:p>
        </w:tc>
        <w:tc>
          <w:tcPr>
            <w:vAlign w:val="center"/>
          </w:tcPr>
          <w:p w:rsidR="00000000" w:rsidDel="00000000" w:rsidP="00000000" w:rsidRDefault="00000000" w:rsidRPr="00000000" w14:paraId="000000E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Local/student project storage; TA7 identifies security controls.</w:t>
            </w:r>
          </w:p>
        </w:tc>
        <w:tc>
          <w:tcPr>
            <w:vAlign w:val="center"/>
          </w:tcPr>
          <w:p w:rsidR="00000000" w:rsidDel="00000000" w:rsidP="00000000" w:rsidRDefault="00000000" w:rsidRPr="00000000" w14:paraId="000000E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RBAC, protected central storage, encryption where appropriate, backup and audit logging.</w:t>
            </w:r>
          </w:p>
        </w:tc>
      </w:tr>
      <w:tr>
        <w:trPr>
          <w:cantSplit w:val="1"/>
          <w:tblHeader w:val="0"/>
        </w:trPr>
        <w:tc>
          <w:tcPr>
            <w:vAlign w:val="center"/>
          </w:tcPr>
          <w:p w:rsidR="00000000" w:rsidDel="00000000" w:rsidP="00000000" w:rsidRDefault="00000000" w:rsidRPr="00000000" w14:paraId="000000E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w:t>
            </w:r>
          </w:p>
        </w:tc>
        <w:tc>
          <w:tcPr>
            <w:vAlign w:val="center"/>
          </w:tcPr>
          <w:p w:rsidR="00000000" w:rsidDel="00000000" w:rsidP="00000000" w:rsidRDefault="00000000" w:rsidRPr="00000000" w14:paraId="000000E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Restrict anomaly outputs to security investigation.</w:t>
            </w:r>
          </w:p>
        </w:tc>
        <w:tc>
          <w:tcPr>
            <w:vAlign w:val="center"/>
          </w:tcPr>
          <w:p w:rsidR="00000000" w:rsidDel="00000000" w:rsidP="00000000" w:rsidRDefault="00000000" w:rsidRPr="00000000" w14:paraId="000000E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 is analyst-facing; no autonomous blocking.</w:t>
            </w:r>
          </w:p>
        </w:tc>
        <w:tc>
          <w:tcPr>
            <w:vAlign w:val="center"/>
          </w:tcPr>
          <w:p w:rsidR="00000000" w:rsidDel="00000000" w:rsidP="00000000" w:rsidRDefault="00000000" w:rsidRPr="00000000" w14:paraId="000000F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Role-based workflow; prohibit unrelated personnel/performance use unless separately authorised.</w:t>
            </w:r>
          </w:p>
        </w:tc>
      </w:tr>
      <w:tr>
        <w:trPr>
          <w:cantSplit w:val="1"/>
          <w:tblHeader w:val="0"/>
        </w:trPr>
        <w:tc>
          <w:tcPr>
            <w:vAlign w:val="center"/>
          </w:tcPr>
          <w:p w:rsidR="00000000" w:rsidDel="00000000" w:rsidP="00000000" w:rsidRDefault="00000000" w:rsidRPr="00000000" w14:paraId="000000F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Sharing</w:t>
            </w:r>
          </w:p>
        </w:tc>
        <w:tc>
          <w:tcPr>
            <w:vAlign w:val="center"/>
          </w:tcPr>
          <w:p w:rsidR="00000000" w:rsidDel="00000000" w:rsidP="00000000" w:rsidRDefault="00000000" w:rsidRPr="00000000" w14:paraId="000000F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Share only what is needed with team/providers.</w:t>
            </w:r>
          </w:p>
        </w:tc>
        <w:tc>
          <w:tcPr>
            <w:vAlign w:val="center"/>
          </w:tcPr>
          <w:p w:rsidR="00000000" w:rsidDel="00000000" w:rsidP="00000000" w:rsidRDefault="00000000" w:rsidRPr="00000000" w14:paraId="000000F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artefacts/repository; raw third-party datasets not bundled.</w:t>
            </w:r>
          </w:p>
        </w:tc>
        <w:tc>
          <w:tcPr>
            <w:vAlign w:val="center"/>
          </w:tcPr>
          <w:p w:rsidR="00000000" w:rsidDel="00000000" w:rsidP="00000000" w:rsidRDefault="00000000" w:rsidRPr="00000000" w14:paraId="000000F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Contractual controls, least disclosure, cross-border assessment.</w:t>
            </w:r>
          </w:p>
        </w:tc>
      </w:tr>
      <w:tr>
        <w:trPr>
          <w:cantSplit w:val="1"/>
          <w:trHeight w:val="527.9589843749999" w:hRule="atLeast"/>
          <w:tblHeader w:val="0"/>
        </w:trPr>
        <w:tc>
          <w:tcPr>
            <w:vAlign w:val="center"/>
          </w:tcPr>
          <w:p w:rsidR="00000000" w:rsidDel="00000000" w:rsidP="00000000" w:rsidRDefault="00000000" w:rsidRPr="00000000" w14:paraId="000000F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Retention / deletion</w:t>
            </w:r>
          </w:p>
        </w:tc>
        <w:tc>
          <w:tcPr>
            <w:vAlign w:val="center"/>
          </w:tcPr>
          <w:p w:rsidR="00000000" w:rsidDel="00000000" w:rsidP="00000000" w:rsidRDefault="00000000" w:rsidRPr="00000000" w14:paraId="000000F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not keep sensitive telemetry indefinitely by default.</w:t>
            </w:r>
          </w:p>
        </w:tc>
        <w:tc>
          <w:tcPr>
            <w:vAlign w:val="center"/>
          </w:tcPr>
          <w:p w:rsidR="00000000" w:rsidDel="00000000" w:rsidP="00000000" w:rsidRDefault="00000000" w:rsidRPr="00000000" w14:paraId="000000F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Academic evidence retained for assessment/reproducibility.</w:t>
            </w:r>
          </w:p>
        </w:tc>
        <w:tc>
          <w:tcPr>
            <w:vAlign w:val="center"/>
          </w:tcPr>
          <w:p w:rsidR="00000000" w:rsidDel="00000000" w:rsidP="00000000" w:rsidRDefault="00000000" w:rsidRPr="00000000" w14:paraId="000000F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retention periods; securely delete or de-identify when no longer required.</w:t>
            </w:r>
          </w:p>
        </w:tc>
      </w:tr>
    </w:tbl>
    <w:p w:rsidR="00000000" w:rsidDel="00000000" w:rsidP="00000000" w:rsidRDefault="00000000" w:rsidRPr="00000000" w14:paraId="000000F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after="4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172200" cy="1489710"/>
            <wp:effectExtent b="0" l="0" r="0" t="0"/>
            <wp:docPr descr="Image: image7.png" id="3" name="image1.png"/>
            <a:graphic>
              <a:graphicData uri="http://schemas.openxmlformats.org/drawingml/2006/picture">
                <pic:pic>
                  <pic:nvPicPr>
                    <pic:cNvPr descr="Image: image7.png" id="0" name="image1.png"/>
                    <pic:cNvPicPr preferRelativeResize="0"/>
                  </pic:nvPicPr>
                  <pic:blipFill>
                    <a:blip r:embed="rId8"/>
                    <a:srcRect b="19681" l="0" r="0" t="18131"/>
                    <a:stretch>
                      <a:fillRect/>
                    </a:stretch>
                  </pic:blipFill>
                  <pic:spPr>
                    <a:xfrm>
                      <a:off x="0" y="0"/>
                      <a:ext cx="6172200" cy="148971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3. Privacy-by-design data lifecycle and control gates for monitored network data.</w:t>
      </w:r>
    </w:p>
    <w:p w:rsidR="00000000" w:rsidDel="00000000" w:rsidP="00000000" w:rsidRDefault="00000000" w:rsidRPr="00000000" w14:paraId="000000FC">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Financial-Services Legal and Regulatory Context</w:t>
      </w:r>
    </w:p>
    <w:p w:rsidR="00000000" w:rsidDel="00000000" w:rsidP="00000000" w:rsidRDefault="00000000" w:rsidRPr="00000000" w14:paraId="000000FD">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AFS Licensee Context - Where Applicable</w:t>
      </w:r>
    </w:p>
    <w:p w:rsidR="00000000" w:rsidDel="00000000" w:rsidP="00000000" w:rsidRDefault="00000000" w:rsidRPr="00000000" w14:paraId="000000FE">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project scenario is “financial services”, but this does not mean every future user holds an Australian financial services (AFS) licence. If the target organisation is an AFS licensee, ASIC states that general obligations include adequate technological and human resources and adequate risk-management systems, alongside broader conduct and compliance obligations. ASIC’s cyber-resilience resources also state that licensees must adequately manage cyber-security risks as part of their licence obligations and that appropriate technological systems, policies and procedures should protect sensitive consumer information and reduce consumer harm (ASIC n.d.-a; ASIC n.d.-b).</w:t>
      </w:r>
      <w:r w:rsidDel="00000000" w:rsidR="00000000" w:rsidRPr="00000000">
        <w:rPr>
          <w:rtl w:val="0"/>
        </w:rPr>
      </w:r>
    </w:p>
    <w:p w:rsidR="00000000" w:rsidDel="00000000" w:rsidP="00000000" w:rsidRDefault="00000000" w:rsidRPr="00000000" w14:paraId="000000FF">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For this project, that context strengthens the justification for evidence retention, threshold governance, human oversight and honest limitation reporting. It does not mean the prototype itself satisfies an AFS licensee’s statutory obligations. A licensee would need to integrate the control into its wider risk-management, incident-management, outsourcing, governance and assurance environment.</w:t>
      </w:r>
      <w:r w:rsidDel="00000000" w:rsidR="00000000" w:rsidRPr="00000000">
        <w:rPr>
          <w:rtl w:val="0"/>
        </w:rPr>
      </w:r>
    </w:p>
    <w:p w:rsidR="00000000" w:rsidDel="00000000" w:rsidP="00000000" w:rsidRDefault="00000000" w:rsidRPr="00000000" w14:paraId="00000100">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AML/CTF and Other Activity-Based Obligations</w:t>
      </w:r>
    </w:p>
    <w:p w:rsidR="00000000" w:rsidDel="00000000" w:rsidP="00000000" w:rsidRDefault="00000000" w:rsidRPr="00000000" w14:paraId="00000101">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OAIC guidance updated in 2026 notes that small businesses that are reporting entities under the Anti-Money Laundering and Counter-Terrorism Financing framework can have Privacy Act obligations for activities connected with those AML/CTF obligations. This illustrates why turnover alone is not a reliable legal test for a financial-services SME. The actual services, records and regulatory status must be checked before deployment (OAIC 2026a).</w:t>
      </w:r>
      <w:r w:rsidDel="00000000" w:rsidR="00000000" w:rsidRPr="00000000">
        <w:rPr>
          <w:rtl w:val="0"/>
        </w:rPr>
      </w:r>
    </w:p>
    <w:p w:rsidR="00000000" w:rsidDel="00000000" w:rsidP="00000000" w:rsidRDefault="00000000" w:rsidRPr="00000000" w14:paraId="00000102">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Workplace Monitoring and Organisational Authority</w:t>
      </w:r>
    </w:p>
    <w:p w:rsidR="00000000" w:rsidDel="00000000" w:rsidP="00000000" w:rsidRDefault="00000000" w:rsidRPr="00000000" w14:paraId="00000103">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Network telemetry can indirectly describe employee behaviour. Employment and workplace-surveillance rules differ across Australian jurisdictions, and a technical team should not assume that security purpose automatically authorises every form of monitoring. Before production use, the organisation should confirm applicable workplace law, employment policies, contractual notices and internal authorisation. The prototype reduces this concern by focusing on network metadata and by avoiding automatic disciplinary or blocking decisions, but governance is still required to prevent security monitoring from becoming general behavioural surveillance.</w:t>
      </w:r>
      <w:r w:rsidDel="00000000" w:rsidR="00000000" w:rsidRPr="00000000">
        <w:rPr>
          <w:rtl w:val="0"/>
        </w:rPr>
      </w:r>
    </w:p>
    <w:p w:rsidR="00000000" w:rsidDel="00000000" w:rsidP="00000000" w:rsidRDefault="00000000" w:rsidRPr="00000000" w14:paraId="00000104">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No Compliance Claim</w:t>
      </w:r>
    </w:p>
    <w:p w:rsidR="00000000" w:rsidDel="00000000" w:rsidP="00000000" w:rsidRDefault="00000000" w:rsidRPr="00000000" w14:paraId="00000105">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project should use wording such as “designed with privacy/security considerations in mind” or “supports evidence for security governance”. It should not claim “Privacy Act compliant”, “ASIC compliant”, “Essential Eight compliant” or “certified” unless a formal assessment against the applicable obligations has been completed. This distinction is both legally cautious and professionally honest.</w:t>
      </w:r>
      <w:r w:rsidDel="00000000" w:rsidR="00000000" w:rsidRPr="00000000">
        <w:rPr>
          <w:rtl w:val="0"/>
        </w:rPr>
      </w:r>
    </w:p>
    <w:p>
      <w:pPr>
        <w:spacing w:after="120"/>
      </w:pPr>
      <w:r>
        <w:rPr>
          <w:rFonts w:ascii="Times New Roman" w:hAnsi="Times New Roman"/>
          <w:sz w:val="22"/>
        </w:rPr>
        <w:t>Applicability and verification boundary: This analysis applies Australian guidance conditionally to a hypothetical SME financial-services organisation. Before live operation, the actual entity must confirm its regulatory status, lawful monitoring authority, personal-information handling, supplier contracts and applicable state or territory requirements. The project is not a legal compliance assessment or evidence of certification.</w:t>
      </w:r>
    </w:p>
    <w:p w:rsidR="00000000" w:rsidDel="00000000" w:rsidP="00000000" w:rsidRDefault="00000000" w:rsidRPr="00000000" w14:paraId="00000106">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Ethics of Network Monitoring and Controlled Security Testing</w:t>
      </w:r>
    </w:p>
    <w:p w:rsidR="00000000" w:rsidDel="00000000" w:rsidP="00000000" w:rsidRDefault="00000000" w:rsidRPr="00000000" w14:paraId="00000107">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Authorisation and Isolation</w:t>
      </w:r>
    </w:p>
    <w:p w:rsidR="00000000" w:rsidDel="00000000" w:rsidP="00000000" w:rsidRDefault="00000000" w:rsidRPr="00000000" w14:paraId="00000108">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Security testing has dual-use characteristics: the same techniques used to validate a detector can damage real systems if performed without authority. In this project, malicious activity is confined to an isolated GNS3/VMware environment using project-owned virtual systems and controlled traffic. This is an ethically important boundary because it allows Nmap scanning, failed logins, bursts and transfer scenarios to be studied without targeting third-party or production assets.</w:t>
      </w:r>
      <w:r w:rsidDel="00000000" w:rsidR="00000000" w:rsidRPr="00000000">
        <w:rPr>
          <w:rtl w:val="0"/>
        </w:rPr>
      </w:r>
    </w:p>
    <w:p w:rsidR="00000000" w:rsidDel="00000000" w:rsidP="00000000" w:rsidRDefault="00000000" w:rsidRPr="00000000" w14:paraId="00000109">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Minimum Necessary Attack Activity</w:t>
      </w:r>
    </w:p>
    <w:p w:rsidR="00000000" w:rsidDel="00000000" w:rsidP="00000000" w:rsidRDefault="00000000" w:rsidRPr="00000000" w14:paraId="0000010A">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ethical objective of the lab is to generate sufficient evidence to test detection, not to maximise offensive capability. Attack scenarios should therefore remain limited to the planned research purpose, documented in advance and stopped if traffic escapes the intended boundary. Offensive scripts, credentials and PCAPs should be handled as controlled project artefacts rather than published in a way that materially facilitates abuse.</w:t>
      </w:r>
      <w:r w:rsidDel="00000000" w:rsidR="00000000" w:rsidRPr="00000000">
        <w:rPr>
          <w:rtl w:val="0"/>
        </w:rPr>
      </w:r>
    </w:p>
    <w:p w:rsidR="00000000" w:rsidDel="00000000" w:rsidP="00000000" w:rsidRDefault="00000000" w:rsidRPr="00000000" w14:paraId="0000010B">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Function Creep</w:t>
      </w:r>
    </w:p>
    <w:p w:rsidR="00000000" w:rsidDel="00000000" w:rsidP="00000000" w:rsidRDefault="00000000" w:rsidRPr="00000000" w14:paraId="0000010C">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system introduced for security monitoring can gradually be repurposed for productivity scoring, staff surveillance or unrelated profiling because the data already exists. That would change the ethical purpose of collection. A production governance policy should therefore state permitted uses, prohibited uses, who can authorise a new purpose and when a new privacy/legal assessment is required.</w:t>
      </w:r>
      <w:r w:rsidDel="00000000" w:rsidR="00000000" w:rsidRPr="00000000">
        <w:rPr>
          <w:rtl w:val="0"/>
        </w:rPr>
      </w:r>
    </w:p>
    <w:p w:rsidR="00000000" w:rsidDel="00000000" w:rsidP="00000000" w:rsidRDefault="00000000" w:rsidRPr="00000000" w14:paraId="0000010D">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Proportionality</w:t>
      </w:r>
    </w:p>
    <w:p w:rsidR="00000000" w:rsidDel="00000000" w:rsidP="00000000" w:rsidRDefault="00000000" w:rsidRPr="00000000" w14:paraId="0000010E">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project favours connection metadata over customer financial-document content and retains a human review stage before action. These are proportionate choices for a prototype whose objective is anomaly detection rather than content inspection. If a future use case proposes deeper packet inspection, long-term identity linkage or automated sanctions, the ethical and legal assessment would need to be reopened because the impact is materially different.</w:t>
      </w:r>
      <w:r w:rsidDel="00000000" w:rsidR="00000000" w:rsidRPr="00000000">
        <w:rPr>
          <w:rtl w:val="0"/>
        </w:rPr>
      </w:r>
    </w:p>
    <w:p w:rsidR="00000000" w:rsidDel="00000000" w:rsidP="00000000" w:rsidRDefault="00000000" w:rsidRPr="00000000" w14:paraId="0000010F">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Machine-Learning and AI Ethics</w:t>
      </w:r>
    </w:p>
    <w:p w:rsidR="00000000" w:rsidDel="00000000" w:rsidP="00000000" w:rsidRDefault="00000000" w:rsidRPr="00000000" w14:paraId="00000110">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Although the six detectors are anomaly-detection models rather than a general-purpose AI system, the ethical concerns of automated inference still apply. Australia’s AI Ethics Principles are useful as a voluntary design lens. The project is strongest where it treats model output as evidence for a human analyst rather than as an unquestionable fact.</w:t>
      </w:r>
      <w:r w:rsidDel="00000000" w:rsidR="00000000" w:rsidRPr="00000000">
        <w:rPr>
          <w:rtl w:val="0"/>
        </w:rPr>
      </w:r>
    </w:p>
    <w:tbl>
      <w:tblPr>
        <w:tblStyle w:val="Table6"/>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3975"/>
        <w:gridCol w:w="3780"/>
        <w:tblGridChange w:id="0">
          <w:tblGrid>
            <w:gridCol w:w="2415"/>
            <w:gridCol w:w="3975"/>
            <w:gridCol w:w="3780"/>
          </w:tblGrid>
        </w:tblGridChange>
      </w:tblGrid>
      <w:tr>
        <w:trPr>
          <w:cantSplit w:val="0"/>
          <w:tblHeader w:val="1"/>
        </w:trPr>
        <w:tc>
          <w:tcPr>
            <w:vAlign w:val="center"/>
          </w:tcPr>
          <w:p w:rsidR="00000000" w:rsidDel="00000000" w:rsidP="00000000" w:rsidRDefault="00000000" w:rsidRPr="00000000" w14:paraId="0000011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Australian AI Ethics Principle</w:t>
            </w:r>
            <w:r w:rsidDel="00000000" w:rsidR="00000000" w:rsidRPr="00000000">
              <w:rPr>
                <w:rtl w:val="0"/>
              </w:rPr>
            </w:r>
          </w:p>
        </w:tc>
        <w:tc>
          <w:tcPr>
            <w:vAlign w:val="center"/>
          </w:tcPr>
          <w:p w:rsidR="00000000" w:rsidDel="00000000" w:rsidP="00000000" w:rsidRDefault="00000000" w:rsidRPr="00000000" w14:paraId="0000011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Application to this project</w:t>
            </w:r>
            <w:r w:rsidDel="00000000" w:rsidR="00000000" w:rsidRPr="00000000">
              <w:rPr>
                <w:rtl w:val="0"/>
              </w:rPr>
            </w:r>
          </w:p>
        </w:tc>
        <w:tc>
          <w:tcPr>
            <w:vAlign w:val="center"/>
          </w:tcPr>
          <w:p w:rsidR="00000000" w:rsidDel="00000000" w:rsidP="00000000" w:rsidRDefault="00000000" w:rsidRPr="00000000" w14:paraId="0000011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 / required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Human, societal &amp; environmental wellbeing</w:t>
            </w:r>
          </w:p>
        </w:tc>
        <w:tc>
          <w:tcPr>
            <w:vAlign w:val="center"/>
          </w:tcPr>
          <w:p w:rsidR="00000000" w:rsidDel="00000000" w:rsidP="00000000" w:rsidRDefault="00000000" w:rsidRPr="00000000" w14:paraId="0000011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benefits should outweigh monitoring and alert burden.</w:t>
            </w:r>
          </w:p>
        </w:tc>
        <w:tc>
          <w:tcPr>
            <w:vAlign w:val="center"/>
          </w:tcPr>
          <w:p w:rsidR="00000000" w:rsidDel="00000000" w:rsidP="00000000" w:rsidRDefault="00000000" w:rsidRPr="00000000" w14:paraId="0000011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proportionate telemetry; measure analyst impact and avoid unnecessary compute/collection.</w:t>
            </w:r>
          </w:p>
        </w:tc>
      </w:tr>
      <w:tr>
        <w:trPr>
          <w:cantSplit w:val="1"/>
          <w:tblHeader w:val="0"/>
        </w:trPr>
        <w:tc>
          <w:tcPr>
            <w:vAlign w:val="center"/>
          </w:tcPr>
          <w:p w:rsidR="00000000" w:rsidDel="00000000" w:rsidP="00000000" w:rsidRDefault="00000000" w:rsidRPr="00000000" w14:paraId="0000011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Human-centred values</w:t>
            </w:r>
          </w:p>
        </w:tc>
        <w:tc>
          <w:tcPr>
            <w:vAlign w:val="center"/>
          </w:tcPr>
          <w:p w:rsidR="00000000" w:rsidDel="00000000" w:rsidP="00000000" w:rsidRDefault="00000000" w:rsidRPr="00000000" w14:paraId="0000011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model should support, not replace, responsible analyst judgement.</w:t>
            </w:r>
          </w:p>
        </w:tc>
        <w:tc>
          <w:tcPr>
            <w:vAlign w:val="center"/>
          </w:tcPr>
          <w:p w:rsidR="00000000" w:rsidDel="00000000" w:rsidP="00000000" w:rsidRDefault="00000000" w:rsidRPr="00000000" w14:paraId="0000011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Passive prototype; no autonomous blocking.</w:t>
            </w:r>
          </w:p>
        </w:tc>
      </w:tr>
      <w:tr>
        <w:trPr>
          <w:cantSplit w:val="1"/>
          <w:tblHeader w:val="0"/>
        </w:trPr>
        <w:tc>
          <w:tcPr>
            <w:vAlign w:val="center"/>
          </w:tcPr>
          <w:p w:rsidR="00000000" w:rsidDel="00000000" w:rsidP="00000000" w:rsidRDefault="00000000" w:rsidRPr="00000000" w14:paraId="0000011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Fairness</w:t>
            </w:r>
          </w:p>
        </w:tc>
        <w:tc>
          <w:tcPr>
            <w:vAlign w:val="center"/>
          </w:tcPr>
          <w:p w:rsidR="00000000" w:rsidDel="00000000" w:rsidP="00000000" w:rsidRDefault="00000000" w:rsidRPr="00000000" w14:paraId="0000011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Traffic from different environments/sessions should not be assumed equivalent.</w:t>
            </w:r>
          </w:p>
        </w:tc>
        <w:tc>
          <w:tcPr>
            <w:vAlign w:val="center"/>
          </w:tcPr>
          <w:p w:rsidR="00000000" w:rsidDel="00000000" w:rsidP="00000000" w:rsidRDefault="00000000" w:rsidRPr="00000000" w14:paraId="0000011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Cross-domain testing, source/session analysis and representative calibration.</w:t>
            </w:r>
          </w:p>
        </w:tc>
      </w:tr>
      <w:tr>
        <w:trPr>
          <w:cantSplit w:val="1"/>
          <w:tblHeader w:val="0"/>
        </w:trPr>
        <w:tc>
          <w:tcPr>
            <w:vAlign w:val="center"/>
          </w:tcPr>
          <w:p w:rsidR="00000000" w:rsidDel="00000000" w:rsidP="00000000" w:rsidRDefault="00000000" w:rsidRPr="00000000" w14:paraId="0000011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Privacy protection &amp; security</w:t>
            </w:r>
          </w:p>
        </w:tc>
        <w:tc>
          <w:tcPr>
            <w:vAlign w:val="center"/>
          </w:tcPr>
          <w:p w:rsidR="00000000" w:rsidDel="00000000" w:rsidP="00000000" w:rsidRDefault="00000000" w:rsidRPr="00000000" w14:paraId="0000011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Telemetry and derived alerts require governance and protection.</w:t>
            </w:r>
          </w:p>
        </w:tc>
        <w:tc>
          <w:tcPr>
            <w:vAlign w:val="center"/>
          </w:tcPr>
          <w:p w:rsidR="00000000" w:rsidDel="00000000" w:rsidP="00000000" w:rsidRDefault="00000000" w:rsidRPr="00000000" w14:paraId="0000011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Minimised feature set; TA7 controls; retention/access requirements.</w:t>
            </w:r>
          </w:p>
        </w:tc>
      </w:tr>
      <w:tr>
        <w:trPr>
          <w:cantSplit w:val="1"/>
          <w:tblHeader w:val="0"/>
        </w:trPr>
        <w:tc>
          <w:tcPr>
            <w:vAlign w:val="center"/>
          </w:tcPr>
          <w:p w:rsidR="00000000" w:rsidDel="00000000" w:rsidP="00000000" w:rsidRDefault="00000000" w:rsidRPr="00000000" w14:paraId="0000012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Reliability &amp; safety</w:t>
            </w:r>
          </w:p>
        </w:tc>
        <w:tc>
          <w:tcPr>
            <w:vAlign w:val="center"/>
          </w:tcPr>
          <w:p w:rsidR="00000000" w:rsidDel="00000000" w:rsidP="00000000" w:rsidRDefault="00000000" w:rsidRPr="00000000" w14:paraId="0000012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model must be evaluated under the conditions where it is used.</w:t>
            </w:r>
          </w:p>
        </w:tc>
        <w:tc>
          <w:tcPr>
            <w:vAlign w:val="center"/>
          </w:tcPr>
          <w:p w:rsidR="00000000" w:rsidDel="00000000" w:rsidP="00000000" w:rsidRDefault="00000000" w:rsidRPr="00000000" w14:paraId="0000012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Frozen-domain testing, multiple metrics, threshold sensitivity and failure reporting.</w:t>
            </w:r>
          </w:p>
        </w:tc>
      </w:tr>
      <w:tr>
        <w:trPr>
          <w:cantSplit w:val="1"/>
          <w:tblHeader w:val="0"/>
        </w:trPr>
        <w:tc>
          <w:tcPr>
            <w:vAlign w:val="center"/>
          </w:tcPr>
          <w:p w:rsidR="00000000" w:rsidDel="00000000" w:rsidP="00000000" w:rsidRDefault="00000000" w:rsidRPr="00000000" w14:paraId="0000012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Transparency &amp; explainability</w:t>
            </w:r>
          </w:p>
        </w:tc>
        <w:tc>
          <w:tcPr>
            <w:vAlign w:val="center"/>
          </w:tcPr>
          <w:p w:rsidR="00000000" w:rsidDel="00000000" w:rsidP="00000000" w:rsidRDefault="00000000" w:rsidRPr="00000000" w14:paraId="0000012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Users need to understand score/threshold context and explanation limits.</w:t>
            </w:r>
          </w:p>
        </w:tc>
        <w:tc>
          <w:tcPr>
            <w:vAlign w:val="center"/>
          </w:tcPr>
          <w:p w:rsidR="00000000" w:rsidDel="00000000" w:rsidP="00000000" w:rsidRDefault="00000000" w:rsidRPr="00000000" w14:paraId="0000012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Model name, score/threshold context and clear caveats; SHAP/residual evidence only where its implementation is confirmed.</w:t>
            </w:r>
          </w:p>
        </w:tc>
      </w:tr>
      <w:tr>
        <w:trPr>
          <w:cantSplit w:val="1"/>
          <w:tblHeader w:val="0"/>
        </w:trPr>
        <w:tc>
          <w:tcPr>
            <w:vAlign w:val="center"/>
          </w:tcPr>
          <w:p w:rsidR="00000000" w:rsidDel="00000000" w:rsidP="00000000" w:rsidRDefault="00000000" w:rsidRPr="00000000" w14:paraId="0000012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Contestability</w:t>
            </w:r>
          </w:p>
        </w:tc>
        <w:tc>
          <w:tcPr>
            <w:vAlign w:val="center"/>
          </w:tcPr>
          <w:p w:rsidR="00000000" w:rsidDel="00000000" w:rsidP="00000000" w:rsidRDefault="00000000" w:rsidRPr="00000000" w14:paraId="0000012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Significant decisions should be reviewable.</w:t>
            </w:r>
          </w:p>
        </w:tc>
        <w:tc>
          <w:tcPr>
            <w:vAlign w:val="center"/>
          </w:tcPr>
          <w:p w:rsidR="00000000" w:rsidDel="00000000" w:rsidP="00000000" w:rsidRDefault="00000000" w:rsidRPr="00000000" w14:paraId="0000012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 investigation before escalation; no automatic adverse action.</w:t>
            </w:r>
          </w:p>
        </w:tc>
      </w:tr>
      <w:tr>
        <w:trPr>
          <w:cantSplit w:val="1"/>
          <w:tblHeader w:val="0"/>
        </w:trPr>
        <w:tc>
          <w:tcPr>
            <w:vAlign w:val="center"/>
          </w:tcPr>
          <w:p w:rsidR="00000000" w:rsidDel="00000000" w:rsidP="00000000" w:rsidRDefault="00000000" w:rsidRPr="00000000" w14:paraId="0000012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Accountability</w:t>
            </w:r>
          </w:p>
        </w:tc>
        <w:tc>
          <w:tcPr>
            <w:vAlign w:val="center"/>
          </w:tcPr>
          <w:p w:rsidR="00000000" w:rsidDel="00000000" w:rsidP="00000000" w:rsidRDefault="00000000" w:rsidRPr="00000000" w14:paraId="0000012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human/organisation remains responsible for deployment and decisions.</w:t>
            </w:r>
          </w:p>
        </w:tc>
        <w:tc>
          <w:tcPr>
            <w:vAlign w:val="center"/>
          </w:tcPr>
          <w:p w:rsidR="00000000" w:rsidDel="00000000" w:rsidP="00000000" w:rsidRDefault="00000000" w:rsidRPr="00000000" w14:paraId="0000012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Named owners for model, threshold, data and incident response.</w:t>
            </w:r>
          </w:p>
        </w:tc>
      </w:tr>
    </w:tbl>
    <w:p w:rsidR="00000000" w:rsidDel="00000000" w:rsidP="00000000" w:rsidRDefault="00000000" w:rsidRPr="00000000" w14:paraId="0000012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False Positives: Harm Beyond a Metric</w:t>
      </w:r>
    </w:p>
    <w:p w:rsidR="00000000" w:rsidDel="00000000" w:rsidP="00000000" w:rsidRDefault="00000000" w:rsidRPr="00000000" w14:paraId="0000012E">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false positive can consume analyst time, create alert fatigue, delay attention to genuine incidents and, if linked to a person, create unjustified suspicion. This is why the project reports FPR separately from F1 and does not accept high recall as sufficient evidence of usefulness. The frozen cross-domain thresholds that flagged almost all normal traffic are therefore an ethical and operational failure state, not simply a weak score that can be hidden in an average metric.</w:t>
      </w:r>
      <w:r w:rsidDel="00000000" w:rsidR="00000000" w:rsidRPr="00000000">
        <w:rPr>
          <w:rtl w:val="0"/>
        </w:rPr>
      </w:r>
    </w:p>
    <w:p w:rsidR="00000000" w:rsidDel="00000000" w:rsidP="00000000" w:rsidRDefault="00000000" w:rsidRPr="00000000" w14:paraId="0000012F">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False Negatives and False Assurance</w:t>
      </w:r>
    </w:p>
    <w:p w:rsidR="00000000" w:rsidDel="00000000" w:rsidP="00000000" w:rsidRDefault="00000000" w:rsidRPr="00000000" w14:paraId="00000130">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Reducing false positives too aggressively can suppress legitimate warnings. A low-alert system can look calm while missing malicious activity. Ethical deployment therefore requires communicating recall and known blind spots alongside FPR. The dashboard and reports should never imply that “no alert” means “no attack”.</w:t>
      </w:r>
      <w:r w:rsidDel="00000000" w:rsidR="00000000" w:rsidRPr="00000000">
        <w:rPr>
          <w:rtl w:val="0"/>
        </w:rPr>
      </w:r>
    </w:p>
    <w:p w:rsidR="00000000" w:rsidDel="00000000" w:rsidP="00000000" w:rsidRDefault="00000000" w:rsidRPr="00000000" w14:paraId="00000131">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Distribution Shift and Fairness Across Environments</w:t>
      </w:r>
    </w:p>
    <w:p w:rsidR="00000000" w:rsidDel="00000000" w:rsidP="00000000" w:rsidRDefault="00000000" w:rsidRPr="00000000" w14:paraId="00000132">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Cross-domain and session shift means the detector can treat equally legitimate behaviour differently depending on where it was captured. In this context, fairness is not demographic classification; it is consistent and justified treatment of legitimate network behaviour across environments, devices, services and sessions. The observed threshold-transfer failure supports environment-aware calibration and periodic validation rather than a claim that one threshold is objectively correct everywhere.</w:t>
      </w:r>
      <w:r w:rsidDel="00000000" w:rsidR="00000000" w:rsidRPr="00000000">
        <w:rPr>
          <w:rtl w:val="0"/>
        </w:rPr>
      </w:r>
    </w:p>
    <w:p w:rsidR="00000000" w:rsidDel="00000000" w:rsidP="00000000" w:rsidRDefault="00000000" w:rsidRPr="00000000" w14:paraId="00000133">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7.4 Explainability is Evidence, not Causation</w:t>
      </w:r>
    </w:p>
    <w:p w:rsidR="00000000" w:rsidDel="00000000" w:rsidP="00000000" w:rsidRDefault="00000000" w:rsidRPr="00000000" w14:paraId="00000134">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SHAP-based feature attribution and reconstruction residuals are potential model-explanation techniques, but the current dashboard evidence primarily establishes score, threshold, severity and confusion-outcome interpretation. SHAP should not be represented as an implemented, validated dashboard feature without the corresponding source code and evidence. Neither attribution nor score explanations prove malicious intent or the real-world cause of a connection. Presenting explanations as causal proof would mislead analysts. Explanations should be accompanied by model/threshold context, raw/log evidence where appropriate and an investigation step.</w:t>
      </w:r>
      <w:r w:rsidDel="00000000" w:rsidR="00000000" w:rsidRPr="00000000">
        <w:rPr>
          <w:rtl w:val="0"/>
        </w:rPr>
      </w:r>
    </w:p>
    <w:p w:rsidR="00000000" w:rsidDel="00000000" w:rsidP="00000000" w:rsidRDefault="00000000" w:rsidRPr="00000000" w14:paraId="00000135">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7.5 Human Oversight and Contestability</w:t>
      </w:r>
    </w:p>
    <w:p w:rsidR="00000000" w:rsidDel="00000000" w:rsidP="00000000" w:rsidRDefault="00000000" w:rsidRPr="00000000" w14:paraId="00000136">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system architecture intentionally avoids automatic blocking. This makes it possible to challenge an alert before it affects access or reputation. In a future operational workflow, an analyst should be able to mark an alert as benign, record a reason, escalate uncertain cases and request threshold/model review when repeated false alerts reveal drift. Where outputs have significant consequences for individuals, a documented review mechanism is essential.</w:t>
      </w:r>
      <w:r w:rsidDel="00000000" w:rsidR="00000000" w:rsidRPr="00000000">
        <w:rPr>
          <w:rtl w:val="0"/>
        </w:rPr>
      </w:r>
    </w:p>
    <w:p w:rsidR="00000000" w:rsidDel="00000000" w:rsidP="00000000" w:rsidRDefault="00000000" w:rsidRPr="00000000" w14:paraId="00000137">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7.6 Threshold Governance</w:t>
      </w:r>
    </w:p>
    <w:p w:rsidR="00000000" w:rsidDel="00000000" w:rsidP="00000000" w:rsidRDefault="00000000" w:rsidRPr="00000000" w14:paraId="00000138">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decision threshold changes who or what is labelled anomalous even when the model itself does not change. Threshold changes are therefore governance decisions, not merely technical tuning. Each production threshold should have an owner, reason, calibration dataset/session, approval date, expected false-alert budget and review date. TA6 provides the quantitative evidence; TA8 establishes why the change must be accountable and reviewable.</w:t>
      </w:r>
      <w:r w:rsidDel="00000000" w:rsidR="00000000" w:rsidRPr="00000000">
        <w:rPr>
          <w:rtl w:val="0"/>
        </w:rPr>
      </w:r>
    </w:p>
    <w:p>
      <w:pPr>
        <w:spacing w:after="120"/>
      </w:pPr>
      <w:r>
        <w:rPr>
          <w:rFonts w:ascii="Times New Roman" w:hAnsi="Times New Roman"/>
          <w:sz w:val="22"/>
        </w:rPr>
        <w:t>Evaluation-population caveat: The 700,000-record NF-CSE original-threshold evaluation and 600,000-record recalibrated evaluation are not identical held-out populations. Likewise, the 6,966-record GNS3 original-threshold evaluation and 5,021-record recalibrated evaluation differ because normal-only records were reserved for calibration. It would be misleading to attribute every numerical difference solely to threshold adjustment; model limitations and sample composition must be reported alongside each comparison.</w:t>
      </w:r>
    </w:p>
    <w:p w:rsidR="00000000" w:rsidDel="00000000" w:rsidP="00000000" w:rsidRDefault="00000000" w:rsidRPr="00000000" w14:paraId="00000139">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Professional Responsibility and ACS Ethics</w:t>
      </w:r>
    </w:p>
    <w:p w:rsidR="00000000" w:rsidDel="00000000" w:rsidP="00000000" w:rsidRDefault="00000000" w:rsidRPr="00000000" w14:paraId="0000013A">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ACS Code of Professional Ethics (2023) is organised around honesty, trustworthiness and respect. These values are directly applicable to a security analytics project because users may rely on technical claims to make consequential decisions. Professional responsibility therefore includes accurate representation of model capability, protection of evidence, competent testing and respect for people whose activity may appear in monitored data (ACS 2023; ACS n.d.).</w:t>
      </w:r>
      <w:r w:rsidDel="00000000" w:rsidR="00000000" w:rsidRPr="00000000">
        <w:rPr>
          <w:rtl w:val="0"/>
        </w:rPr>
      </w:r>
    </w:p>
    <w:tbl>
      <w:tblPr>
        <w:tblStyle w:val="Table7"/>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3615"/>
        <w:gridCol w:w="4830"/>
        <w:tblGridChange w:id="0">
          <w:tblGrid>
            <w:gridCol w:w="1725"/>
            <w:gridCol w:w="3615"/>
            <w:gridCol w:w="4830"/>
          </w:tblGrid>
        </w:tblGridChange>
      </w:tblGrid>
      <w:tr>
        <w:trPr>
          <w:cantSplit w:val="0"/>
          <w:tblHeader w:val="1"/>
        </w:trPr>
        <w:tc>
          <w:tcPr>
            <w:vAlign w:val="center"/>
          </w:tcPr>
          <w:p w:rsidR="00000000" w:rsidDel="00000000" w:rsidP="00000000" w:rsidRDefault="00000000" w:rsidRPr="00000000" w14:paraId="0000013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ACS value</w:t>
            </w:r>
            <w:r w:rsidDel="00000000" w:rsidR="00000000" w:rsidRPr="00000000">
              <w:rPr>
                <w:rtl w:val="0"/>
              </w:rPr>
            </w:r>
          </w:p>
        </w:tc>
        <w:tc>
          <w:tcPr>
            <w:vAlign w:val="center"/>
          </w:tcPr>
          <w:p w:rsidR="00000000" w:rsidDel="00000000" w:rsidP="00000000" w:rsidRDefault="00000000" w:rsidRPr="00000000" w14:paraId="0000013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Expected professional behaviour</w:t>
            </w:r>
            <w:r w:rsidDel="00000000" w:rsidR="00000000" w:rsidRPr="00000000">
              <w:rPr>
                <w:rtl w:val="0"/>
              </w:rPr>
            </w:r>
          </w:p>
        </w:tc>
        <w:tc>
          <w:tcPr>
            <w:vAlign w:val="center"/>
          </w:tcPr>
          <w:p w:rsidR="00000000" w:rsidDel="00000000" w:rsidP="00000000" w:rsidRDefault="00000000" w:rsidRPr="00000000" w14:paraId="0000013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Project-specific application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Honesty</w:t>
            </w:r>
          </w:p>
        </w:tc>
        <w:tc>
          <w:tcPr>
            <w:vAlign w:val="center"/>
          </w:tcPr>
          <w:p w:rsidR="00000000" w:rsidDel="00000000" w:rsidP="00000000" w:rsidRDefault="00000000" w:rsidRPr="00000000" w14:paraId="0000013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Communicate capability, uncertainty and failure accurately; do not misrepresent evidence.</w:t>
            </w:r>
          </w:p>
        </w:tc>
        <w:tc>
          <w:tcPr>
            <w:vAlign w:val="center"/>
          </w:tcPr>
          <w:p w:rsidR="00000000" w:rsidDel="00000000" w:rsidP="00000000" w:rsidRDefault="00000000" w:rsidRPr="00000000" w14:paraId="0000014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 cross-domain failure, Hybrid saturation, low-count scenarios and prototype limitations; avoid “production ready” or “compliant” claims.</w:t>
            </w:r>
          </w:p>
        </w:tc>
      </w:tr>
      <w:tr>
        <w:trPr>
          <w:cantSplit w:val="1"/>
          <w:tblHeader w:val="0"/>
        </w:trPr>
        <w:tc>
          <w:tcPr>
            <w:vAlign w:val="center"/>
          </w:tcPr>
          <w:p w:rsidR="00000000" w:rsidDel="00000000" w:rsidP="00000000" w:rsidRDefault="00000000" w:rsidRPr="00000000" w14:paraId="0000014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Trustworthiness</w:t>
            </w:r>
          </w:p>
        </w:tc>
        <w:tc>
          <w:tcPr>
            <w:vAlign w:val="center"/>
          </w:tcPr>
          <w:p w:rsidR="00000000" w:rsidDel="00000000" w:rsidP="00000000" w:rsidRDefault="00000000" w:rsidRPr="00000000" w14:paraId="0000014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 accountable for work, protect information and deliver reproducible evidence.</w:t>
            </w:r>
          </w:p>
        </w:tc>
        <w:tc>
          <w:tcPr>
            <w:vAlign w:val="center"/>
          </w:tcPr>
          <w:p w:rsidR="00000000" w:rsidDel="00000000" w:rsidP="00000000" w:rsidRDefault="00000000" w:rsidRPr="00000000" w14:paraId="0000014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Version code/models, preserve provenance, protect logs, review threshold changes and document who approved deployment decisions.</w:t>
            </w:r>
          </w:p>
        </w:tc>
      </w:tr>
      <w:tr>
        <w:trPr>
          <w:cantSplit w:val="1"/>
          <w:tblHeader w:val="0"/>
        </w:trPr>
        <w:tc>
          <w:tcPr>
            <w:vAlign w:val="center"/>
          </w:tcPr>
          <w:p w:rsidR="00000000" w:rsidDel="00000000" w:rsidP="00000000" w:rsidRDefault="00000000" w:rsidRPr="00000000" w14:paraId="0000014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Respect</w:t>
            </w:r>
          </w:p>
        </w:tc>
        <w:tc>
          <w:tcPr>
            <w:vAlign w:val="center"/>
          </w:tcPr>
          <w:p w:rsidR="00000000" w:rsidDel="00000000" w:rsidP="00000000" w:rsidRDefault="00000000" w:rsidRPr="00000000" w14:paraId="0000014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Consider the rights, dignity, autonomy and legitimate interests of affected people.</w:t>
            </w:r>
          </w:p>
        </w:tc>
        <w:tc>
          <w:tcPr>
            <w:vAlign w:val="center"/>
          </w:tcPr>
          <w:p w:rsidR="00000000" w:rsidDel="00000000" w:rsidP="00000000" w:rsidRDefault="00000000" w:rsidRPr="00000000" w14:paraId="0000014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Minimise monitoring, avoid unnecessary identity linkage, preserve human review and prevent anomaly scores becoming unsupported accusations.</w:t>
            </w:r>
          </w:p>
        </w:tc>
      </w:tr>
    </w:tbl>
    <w:p w:rsidR="00000000" w:rsidDel="00000000" w:rsidP="00000000" w:rsidRDefault="00000000" w:rsidRPr="00000000" w14:paraId="0000014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Competence and Due Care</w:t>
      </w:r>
    </w:p>
    <w:p w:rsidR="00000000" w:rsidDel="00000000" w:rsidP="00000000" w:rsidRDefault="00000000" w:rsidRPr="00000000" w14:paraId="00000149">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professional team should work within its competence and seek specialist advice when decisions exceed it. Model development does not make the team qualified to issue legal opinions, certify regulatory compliance or conduct unrestricted penetration testing. The responsible approach is to document technical evidence, identify where legal/security specialists are required and avoid claims beyond the work actually performed.</w:t>
      </w:r>
      <w:r w:rsidDel="00000000" w:rsidR="00000000" w:rsidRPr="00000000">
        <w:rPr>
          <w:rtl w:val="0"/>
        </w:rPr>
      </w:r>
    </w:p>
    <w:p w:rsidR="00000000" w:rsidDel="00000000" w:rsidP="00000000" w:rsidRDefault="00000000" w:rsidRPr="00000000" w14:paraId="0000014A">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8.2 Reproducibility and Evidence Integrity</w:t>
      </w:r>
    </w:p>
    <w:p w:rsidR="00000000" w:rsidDel="00000000" w:rsidP="00000000" w:rsidRDefault="00000000" w:rsidRPr="00000000" w14:paraId="0000014B">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Reproducibility is also a professional issue. If a result cannot be traced to the dataset split, model version, preprocessing artefact and threshold, other team members cannot verify the claim. The project’s saved feature order, model artefacts, repository, PCAP/log evidence and threshold records therefore support professional accountability as well as technical repeatability.</w:t>
      </w:r>
      <w:r w:rsidDel="00000000" w:rsidR="00000000" w:rsidRPr="00000000">
        <w:rPr>
          <w:rtl w:val="0"/>
        </w:rPr>
      </w:r>
    </w:p>
    <w:p>
      <w:pPr>
        <w:spacing w:after="120"/>
      </w:pPr>
      <w:r>
        <w:rPr>
          <w:rFonts w:ascii="Times New Roman" w:hAnsi="Times New Roman"/>
          <w:sz w:val="22"/>
        </w:rPr>
        <w:t>Evidence limitation and professional responsibility: The model and evaluation notebooks provide inspectable code and recorded outputs, but independent end-to-end reproduction is not established for every pipeline component. In particular, the UNSW profiling workflow depends on external scripts, and the NF-CSE preparation notebook has clean-runtime configuration dependencies. Reports should retain these limitations until the missing files and reproducible execution evidence are included.</w:t>
      </w:r>
    </w:p>
    <w:p w:rsidR="00000000" w:rsidDel="00000000" w:rsidP="00000000" w:rsidRDefault="00000000" w:rsidRPr="00000000" w14:paraId="0000014C">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Intellectual Property, Licensing and Academic Integrity</w:t>
      </w:r>
    </w:p>
    <w:p w:rsidR="00000000" w:rsidDel="00000000" w:rsidP="00000000" w:rsidRDefault="00000000" w:rsidRPr="00000000" w14:paraId="0000014D">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Third-Party Datasets</w:t>
      </w:r>
    </w:p>
    <w:p w:rsidR="00000000" w:rsidDel="00000000" w:rsidP="00000000" w:rsidRDefault="00000000" w:rsidRPr="00000000" w14:paraId="0000014E">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UNSW-NB15 and NF-CSE-CIC-IDS2018-v2 are third-party research resources. The project should cite the original source and follow the dataset’s applicable access and redistribution terms. The final-report instructions also favour linking to large third-party datasets rather than bundling them as if they were project deliverables. Processed project outputs should retain provenance so they are not confused with original dataset ownership.</w:t>
      </w:r>
      <w:r w:rsidDel="00000000" w:rsidR="00000000" w:rsidRPr="00000000">
        <w:rPr>
          <w:rtl w:val="0"/>
        </w:rPr>
      </w:r>
    </w:p>
    <w:p w:rsidR="00000000" w:rsidDel="00000000" w:rsidP="00000000" w:rsidRDefault="00000000" w:rsidRPr="00000000" w14:paraId="0000014F">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Software and Dependencies</w:t>
      </w:r>
    </w:p>
    <w:p w:rsidR="00000000" w:rsidDel="00000000" w:rsidP="00000000" w:rsidRDefault="00000000" w:rsidRPr="00000000" w14:paraId="00000150">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implementation depends on Python libraries, Zeek, GNS3/VMware tooling and other software. Open-source availability does not remove licence obligations. Before public distribution of a repository or packaged application, the team should retain copyright/licence notices, identify direct dependencies and verify that the chosen distribution method is compatible with their licences. Creative Commons itself recommends using software-specific licences rather than applying a CC licence to software code (Creative Commons n.d.).</w:t>
      </w:r>
      <w:r w:rsidDel="00000000" w:rsidR="00000000" w:rsidRPr="00000000">
        <w:rPr>
          <w:rtl w:val="0"/>
        </w:rPr>
      </w:r>
    </w:p>
    <w:p w:rsidR="00000000" w:rsidDel="00000000" w:rsidP="00000000" w:rsidRDefault="00000000" w:rsidRPr="00000000" w14:paraId="00000151">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 Project Source Code and Contributions</w:t>
      </w:r>
    </w:p>
    <w:p w:rsidR="00000000" w:rsidDel="00000000" w:rsidP="00000000" w:rsidRDefault="00000000" w:rsidRPr="00000000" w14:paraId="00000152">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Project-created source code should identify authorship/contribution and use a deliberate repository licence if the team intends to permit reuse. Without an explicit licence, public visibility on a repository does not automatically grant every reuse right. Generated charts, diagrams and written explanations should be traceable to project evidence and should not reproduce copyrighted third-party figures without permission or a valid exception.</w:t>
      </w:r>
      <w:r w:rsidDel="00000000" w:rsidR="00000000" w:rsidRPr="00000000">
        <w:rPr>
          <w:rtl w:val="0"/>
        </w:rPr>
      </w:r>
    </w:p>
    <w:p w:rsidR="00000000" w:rsidDel="00000000" w:rsidP="00000000" w:rsidRDefault="00000000" w:rsidRPr="00000000" w14:paraId="00000153">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9.4 Academic Integrity</w:t>
      </w:r>
    </w:p>
    <w:p w:rsidR="00000000" w:rsidDel="00000000" w:rsidP="00000000" w:rsidRDefault="00000000" w:rsidRPr="00000000" w14:paraId="00000154">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Technical artefacts should distinguish original project work from external research, software documentation and regulatory guidance. Citations are required not only for direct quotations but also for technical ideas, dataset origins, legal requirements and published methods that materially support the design. The project should not fabricate participant results, attack evidence, performance values or compliance findings.</w:t>
      </w:r>
      <w:r w:rsidDel="00000000" w:rsidR="00000000" w:rsidRPr="00000000">
        <w:rPr>
          <w:rtl w:val="0"/>
        </w:rPr>
      </w:r>
    </w:p>
    <w:p w:rsidR="00000000" w:rsidDel="00000000" w:rsidP="00000000" w:rsidRDefault="00000000" w:rsidRPr="00000000" w14:paraId="00000155">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Ethical and Legal Issue Register</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1815"/>
        <w:gridCol w:w="2175"/>
        <w:gridCol w:w="2280"/>
        <w:gridCol w:w="2895"/>
        <w:tblGridChange w:id="0">
          <w:tblGrid>
            <w:gridCol w:w="1035"/>
            <w:gridCol w:w="1815"/>
            <w:gridCol w:w="2175"/>
            <w:gridCol w:w="2280"/>
            <w:gridCol w:w="2895"/>
          </w:tblGrid>
        </w:tblGridChange>
      </w:tblGrid>
      <w:tr>
        <w:trPr>
          <w:cantSplit w:val="0"/>
          <w:tblHeader w:val="1"/>
        </w:trPr>
        <w:tc>
          <w:tcPr>
            <w:vAlign w:val="center"/>
          </w:tcPr>
          <w:p w:rsidR="00000000" w:rsidDel="00000000" w:rsidP="00000000" w:rsidRDefault="00000000" w:rsidRPr="00000000" w14:paraId="0000015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vAlign w:val="center"/>
          </w:tcPr>
          <w:p w:rsidR="00000000" w:rsidDel="00000000" w:rsidP="00000000" w:rsidRDefault="00000000" w:rsidRPr="00000000" w14:paraId="0000015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Issue</w:t>
            </w:r>
            <w:r w:rsidDel="00000000" w:rsidR="00000000" w:rsidRPr="00000000">
              <w:rPr>
                <w:rtl w:val="0"/>
              </w:rPr>
            </w:r>
          </w:p>
        </w:tc>
        <w:tc>
          <w:tcPr>
            <w:vAlign w:val="center"/>
          </w:tcPr>
          <w:p w:rsidR="00000000" w:rsidDel="00000000" w:rsidP="00000000" w:rsidRDefault="00000000" w:rsidRPr="00000000" w14:paraId="0000015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Affected stakeholder</w:t>
            </w:r>
            <w:r w:rsidDel="00000000" w:rsidR="00000000" w:rsidRPr="00000000">
              <w:rPr>
                <w:rtl w:val="0"/>
              </w:rPr>
            </w:r>
          </w:p>
        </w:tc>
        <w:tc>
          <w:tcPr>
            <w:vAlign w:val="center"/>
          </w:tcPr>
          <w:p w:rsidR="00000000" w:rsidDel="00000000" w:rsidP="00000000" w:rsidRDefault="00000000" w:rsidRPr="00000000" w14:paraId="0000015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Why it matters</w:t>
            </w:r>
            <w:r w:rsidDel="00000000" w:rsidR="00000000" w:rsidRPr="00000000">
              <w:rPr>
                <w:rtl w:val="0"/>
              </w:rPr>
            </w:r>
          </w:p>
        </w:tc>
        <w:tc>
          <w:tcPr>
            <w:vAlign w:val="center"/>
          </w:tcPr>
          <w:p w:rsidR="00000000" w:rsidDel="00000000" w:rsidP="00000000" w:rsidRDefault="00000000" w:rsidRPr="00000000" w14:paraId="0000015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response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EL-01</w:t>
            </w:r>
          </w:p>
        </w:tc>
        <w:tc>
          <w:tcPr>
            <w:vAlign w:val="center"/>
          </w:tcPr>
          <w:p w:rsidR="00000000" w:rsidDel="00000000" w:rsidP="00000000" w:rsidRDefault="00000000" w:rsidRPr="00000000" w14:paraId="0000015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Purpose/function creep</w:t>
            </w:r>
          </w:p>
        </w:tc>
        <w:tc>
          <w:tcPr>
            <w:vAlign w:val="center"/>
          </w:tcPr>
          <w:p w:rsidR="00000000" w:rsidDel="00000000" w:rsidP="00000000" w:rsidRDefault="00000000" w:rsidRPr="00000000" w14:paraId="0000015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Employees / organisation</w:t>
            </w:r>
          </w:p>
        </w:tc>
        <w:tc>
          <w:tcPr>
            <w:vAlign w:val="center"/>
          </w:tcPr>
          <w:p w:rsidR="00000000" w:rsidDel="00000000" w:rsidP="00000000" w:rsidRDefault="00000000" w:rsidRPr="00000000" w14:paraId="0000015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telemetry reused for unrelated staff monitoring.</w:t>
            </w:r>
          </w:p>
        </w:tc>
        <w:tc>
          <w:tcPr>
            <w:vAlign w:val="center"/>
          </w:tcPr>
          <w:p w:rsidR="00000000" w:rsidDel="00000000" w:rsidP="00000000" w:rsidRDefault="00000000" w:rsidRPr="00000000" w14:paraId="0000015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Define permitted purpose; require approval and reassessment for secondary use.</w:t>
            </w:r>
          </w:p>
        </w:tc>
      </w:tr>
      <w:tr>
        <w:trPr>
          <w:cantSplit w:val="1"/>
          <w:tblHeader w:val="0"/>
        </w:trPr>
        <w:tc>
          <w:tcPr>
            <w:vAlign w:val="center"/>
          </w:tcPr>
          <w:p w:rsidR="00000000" w:rsidDel="00000000" w:rsidP="00000000" w:rsidRDefault="00000000" w:rsidRPr="00000000" w14:paraId="0000016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EL-02</w:t>
            </w:r>
          </w:p>
        </w:tc>
        <w:tc>
          <w:tcPr>
            <w:vAlign w:val="center"/>
          </w:tcPr>
          <w:p w:rsidR="00000000" w:rsidDel="00000000" w:rsidP="00000000" w:rsidRDefault="00000000" w:rsidRPr="00000000" w14:paraId="0000016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Over-collection</w:t>
            </w:r>
          </w:p>
        </w:tc>
        <w:tc>
          <w:tcPr>
            <w:vAlign w:val="center"/>
          </w:tcPr>
          <w:p w:rsidR="00000000" w:rsidDel="00000000" w:rsidP="00000000" w:rsidRDefault="00000000" w:rsidRPr="00000000" w14:paraId="0000016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Employees / clients</w:t>
            </w:r>
          </w:p>
        </w:tc>
        <w:tc>
          <w:tcPr>
            <w:vAlign w:val="center"/>
          </w:tcPr>
          <w:p w:rsidR="00000000" w:rsidDel="00000000" w:rsidP="00000000" w:rsidRDefault="00000000" w:rsidRPr="00000000" w14:paraId="0000016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Capturing payloads or identifiers not needed for anomaly detection increases privacy exposure.</w:t>
            </w:r>
          </w:p>
        </w:tc>
        <w:tc>
          <w:tcPr>
            <w:vAlign w:val="center"/>
          </w:tcPr>
          <w:p w:rsidR="00000000" w:rsidDel="00000000" w:rsidP="00000000" w:rsidRDefault="00000000" w:rsidRPr="00000000" w14:paraId="0000016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Metadata-first collection; minimise fields; tighter controls for PCAP.</w:t>
            </w:r>
          </w:p>
        </w:tc>
      </w:tr>
      <w:tr>
        <w:trPr>
          <w:cantSplit w:val="1"/>
          <w:tblHeader w:val="0"/>
        </w:trPr>
        <w:tc>
          <w:tcPr>
            <w:vAlign w:val="center"/>
          </w:tcPr>
          <w:p w:rsidR="00000000" w:rsidDel="00000000" w:rsidP="00000000" w:rsidRDefault="00000000" w:rsidRPr="00000000" w14:paraId="0000016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EL-03</w:t>
            </w:r>
          </w:p>
        </w:tc>
        <w:tc>
          <w:tcPr>
            <w:vAlign w:val="center"/>
          </w:tcPr>
          <w:p w:rsidR="00000000" w:rsidDel="00000000" w:rsidP="00000000" w:rsidRDefault="00000000" w:rsidRPr="00000000" w14:paraId="0000016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accusation</w:t>
            </w:r>
          </w:p>
        </w:tc>
        <w:tc>
          <w:tcPr>
            <w:vAlign w:val="center"/>
          </w:tcPr>
          <w:p w:rsidR="00000000" w:rsidDel="00000000" w:rsidP="00000000" w:rsidRDefault="00000000" w:rsidRPr="00000000" w14:paraId="0000016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Employees / users</w:t>
            </w:r>
          </w:p>
        </w:tc>
        <w:tc>
          <w:tcPr>
            <w:vAlign w:val="center"/>
          </w:tcPr>
          <w:p w:rsidR="00000000" w:rsidDel="00000000" w:rsidP="00000000" w:rsidRDefault="00000000" w:rsidRPr="00000000" w14:paraId="0000016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anomaly score may be interpreted as evidence of malicious intent.</w:t>
            </w:r>
          </w:p>
        </w:tc>
        <w:tc>
          <w:tcPr>
            <w:vAlign w:val="center"/>
          </w:tcPr>
          <w:p w:rsidR="00000000" w:rsidDel="00000000" w:rsidP="00000000" w:rsidRDefault="00000000" w:rsidRPr="00000000" w14:paraId="0000016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Human investigation; explanation caveat; no disciplinary action from score alone.</w:t>
            </w:r>
          </w:p>
        </w:tc>
      </w:tr>
      <w:tr>
        <w:trPr>
          <w:cantSplit w:val="1"/>
          <w:tblHeader w:val="0"/>
        </w:trPr>
        <w:tc>
          <w:tcPr>
            <w:vAlign w:val="center"/>
          </w:tcPr>
          <w:p w:rsidR="00000000" w:rsidDel="00000000" w:rsidP="00000000" w:rsidRDefault="00000000" w:rsidRPr="00000000" w14:paraId="0000016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EL-04</w:t>
            </w:r>
          </w:p>
        </w:tc>
        <w:tc>
          <w:tcPr>
            <w:vAlign w:val="center"/>
          </w:tcPr>
          <w:p w:rsidR="00000000" w:rsidDel="00000000" w:rsidP="00000000" w:rsidRDefault="00000000" w:rsidRPr="00000000" w14:paraId="0000016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assurance</w:t>
            </w:r>
          </w:p>
        </w:tc>
        <w:tc>
          <w:tcPr>
            <w:vAlign w:val="center"/>
          </w:tcPr>
          <w:p w:rsidR="00000000" w:rsidDel="00000000" w:rsidP="00000000" w:rsidRDefault="00000000" w:rsidRPr="00000000" w14:paraId="0000016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Management / clients</w:t>
            </w:r>
          </w:p>
        </w:tc>
        <w:tc>
          <w:tcPr>
            <w:vAlign w:val="center"/>
          </w:tcPr>
          <w:p w:rsidR="00000000" w:rsidDel="00000000" w:rsidP="00000000" w:rsidRDefault="00000000" w:rsidRPr="00000000" w14:paraId="0000016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 alert volume may be mistaken for absence of attack.</w:t>
            </w:r>
          </w:p>
        </w:tc>
        <w:tc>
          <w:tcPr>
            <w:vAlign w:val="center"/>
          </w:tcPr>
          <w:p w:rsidR="00000000" w:rsidDel="00000000" w:rsidP="00000000" w:rsidRDefault="00000000" w:rsidRPr="00000000" w14:paraId="0000016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 recall/blind spots; communicate limits; layered security controls.</w:t>
            </w:r>
          </w:p>
        </w:tc>
      </w:tr>
      <w:tr>
        <w:trPr>
          <w:cantSplit w:val="1"/>
          <w:tblHeader w:val="0"/>
        </w:trPr>
        <w:tc>
          <w:tcPr>
            <w:vAlign w:val="center"/>
          </w:tcPr>
          <w:p w:rsidR="00000000" w:rsidDel="00000000" w:rsidP="00000000" w:rsidRDefault="00000000" w:rsidRPr="00000000" w14:paraId="0000016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EL-05</w:t>
            </w:r>
          </w:p>
        </w:tc>
        <w:tc>
          <w:tcPr>
            <w:vAlign w:val="center"/>
          </w:tcPr>
          <w:p w:rsidR="00000000" w:rsidDel="00000000" w:rsidP="00000000" w:rsidRDefault="00000000" w:rsidRPr="00000000" w14:paraId="0000017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Cross-domain unfairness</w:t>
            </w:r>
          </w:p>
        </w:tc>
        <w:tc>
          <w:tcPr>
            <w:vAlign w:val="center"/>
          </w:tcPr>
          <w:p w:rsidR="00000000" w:rsidDel="00000000" w:rsidP="00000000" w:rsidRDefault="00000000" w:rsidRPr="00000000" w14:paraId="0000017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Users / systems</w:t>
            </w:r>
          </w:p>
        </w:tc>
        <w:tc>
          <w:tcPr>
            <w:vAlign w:val="center"/>
          </w:tcPr>
          <w:p w:rsidR="00000000" w:rsidDel="00000000" w:rsidP="00000000" w:rsidRDefault="00000000" w:rsidRPr="00000000" w14:paraId="0000017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Legitimate behaviour in a new environment may be over-flagged.</w:t>
            </w:r>
          </w:p>
        </w:tc>
        <w:tc>
          <w:tcPr>
            <w:vAlign w:val="center"/>
          </w:tcPr>
          <w:p w:rsidR="00000000" w:rsidDel="00000000" w:rsidP="00000000" w:rsidRDefault="00000000" w:rsidRPr="00000000" w14:paraId="0000017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Target-normal calibration; session validation; drift review.</w:t>
            </w:r>
          </w:p>
        </w:tc>
      </w:tr>
      <w:tr>
        <w:trPr>
          <w:cantSplit w:val="1"/>
          <w:tblHeader w:val="0"/>
        </w:trPr>
        <w:tc>
          <w:tcPr>
            <w:vAlign w:val="center"/>
          </w:tcPr>
          <w:p w:rsidR="00000000" w:rsidDel="00000000" w:rsidP="00000000" w:rsidRDefault="00000000" w:rsidRPr="00000000" w14:paraId="0000017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EL-06</w:t>
            </w:r>
          </w:p>
        </w:tc>
        <w:tc>
          <w:tcPr>
            <w:vAlign w:val="center"/>
          </w:tcPr>
          <w:p w:rsidR="00000000" w:rsidDel="00000000" w:rsidP="00000000" w:rsidRDefault="00000000" w:rsidRPr="00000000" w14:paraId="0000017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Opaque decision</w:t>
            </w:r>
          </w:p>
        </w:tc>
        <w:tc>
          <w:tcPr>
            <w:vAlign w:val="center"/>
          </w:tcPr>
          <w:p w:rsidR="00000000" w:rsidDel="00000000" w:rsidP="00000000" w:rsidRDefault="00000000" w:rsidRPr="00000000" w14:paraId="0000017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 / affected user</w:t>
            </w:r>
          </w:p>
        </w:tc>
        <w:tc>
          <w:tcPr>
            <w:vAlign w:val="center"/>
          </w:tcPr>
          <w:p w:rsidR="00000000" w:rsidDel="00000000" w:rsidP="00000000" w:rsidRDefault="00000000" w:rsidRPr="00000000" w14:paraId="0000017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score may be difficult to understand or challenge.</w:t>
            </w:r>
          </w:p>
        </w:tc>
        <w:tc>
          <w:tcPr>
            <w:vAlign w:val="center"/>
          </w:tcPr>
          <w:p w:rsidR="00000000" w:rsidDel="00000000" w:rsidP="00000000" w:rsidRDefault="00000000" w:rsidRPr="00000000" w14:paraId="0000017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Available score/threshold metadata and contextual evidence; add validated feature attribution and formal review workflow before production.</w:t>
            </w:r>
          </w:p>
        </w:tc>
      </w:tr>
      <w:tr>
        <w:trPr>
          <w:cantSplit w:val="1"/>
          <w:tblHeader w:val="0"/>
        </w:trPr>
        <w:tc>
          <w:tcPr>
            <w:vAlign w:val="center"/>
          </w:tcPr>
          <w:p w:rsidR="00000000" w:rsidDel="00000000" w:rsidP="00000000" w:rsidRDefault="00000000" w:rsidRPr="00000000" w14:paraId="0000017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EL-07</w:t>
            </w:r>
          </w:p>
        </w:tc>
        <w:tc>
          <w:tcPr>
            <w:vAlign w:val="center"/>
          </w:tcPr>
          <w:p w:rsidR="00000000" w:rsidDel="00000000" w:rsidP="00000000" w:rsidRDefault="00000000" w:rsidRPr="00000000" w14:paraId="0000017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Unauthorised testing</w:t>
            </w:r>
          </w:p>
        </w:tc>
        <w:tc>
          <w:tcPr>
            <w:vAlign w:val="center"/>
          </w:tcPr>
          <w:p w:rsidR="00000000" w:rsidDel="00000000" w:rsidP="00000000" w:rsidRDefault="00000000" w:rsidRPr="00000000" w14:paraId="0000017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 parties / infrastructure</w:t>
            </w:r>
          </w:p>
        </w:tc>
        <w:tc>
          <w:tcPr>
            <w:vAlign w:val="center"/>
          </w:tcPr>
          <w:p w:rsidR="00000000" w:rsidDel="00000000" w:rsidP="00000000" w:rsidRDefault="00000000" w:rsidRPr="00000000" w14:paraId="0000017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Dual-use attack techniques can harm systems outside project authority.</w:t>
            </w:r>
          </w:p>
        </w:tc>
        <w:tc>
          <w:tcPr>
            <w:vAlign w:val="center"/>
          </w:tcPr>
          <w:p w:rsidR="00000000" w:rsidDel="00000000" w:rsidP="00000000" w:rsidRDefault="00000000" w:rsidRPr="00000000" w14:paraId="0000017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lab; approved targets only; no production attacks.</w:t>
            </w:r>
          </w:p>
        </w:tc>
      </w:tr>
      <w:tr>
        <w:trPr>
          <w:cantSplit w:val="1"/>
          <w:tblHeader w:val="0"/>
        </w:trPr>
        <w:tc>
          <w:tcPr>
            <w:vAlign w:val="center"/>
          </w:tcPr>
          <w:p w:rsidR="00000000" w:rsidDel="00000000" w:rsidP="00000000" w:rsidRDefault="00000000" w:rsidRPr="00000000" w14:paraId="0000017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EL-08</w:t>
            </w:r>
          </w:p>
        </w:tc>
        <w:tc>
          <w:tcPr>
            <w:vAlign w:val="center"/>
          </w:tcPr>
          <w:p w:rsidR="00000000" w:rsidDel="00000000" w:rsidP="00000000" w:rsidRDefault="00000000" w:rsidRPr="00000000" w14:paraId="0000017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breach of telemetry</w:t>
            </w:r>
          </w:p>
        </w:tc>
        <w:tc>
          <w:tcPr>
            <w:vAlign w:val="center"/>
          </w:tcPr>
          <w:p w:rsidR="00000000" w:rsidDel="00000000" w:rsidP="00000000" w:rsidRDefault="00000000" w:rsidRPr="00000000" w14:paraId="0000018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Employees / clients</w:t>
            </w:r>
          </w:p>
        </w:tc>
        <w:tc>
          <w:tcPr>
            <w:vAlign w:val="center"/>
          </w:tcPr>
          <w:p w:rsidR="00000000" w:rsidDel="00000000" w:rsidP="00000000" w:rsidRDefault="00000000" w:rsidRPr="00000000" w14:paraId="0000018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Logs/alerts can expose sensitive network/user information.</w:t>
            </w:r>
          </w:p>
        </w:tc>
        <w:tc>
          <w:tcPr>
            <w:vAlign w:val="center"/>
          </w:tcPr>
          <w:p w:rsidR="00000000" w:rsidDel="00000000" w:rsidP="00000000" w:rsidRDefault="00000000" w:rsidRPr="00000000" w14:paraId="0000018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TA7 security controls; access restriction; incident/NDB assessment where applicable.</w:t>
            </w:r>
          </w:p>
        </w:tc>
      </w:tr>
      <w:tr>
        <w:trPr>
          <w:cantSplit w:val="1"/>
          <w:tblHeader w:val="0"/>
        </w:trPr>
        <w:tc>
          <w:tcPr>
            <w:vAlign w:val="center"/>
          </w:tcPr>
          <w:p w:rsidR="00000000" w:rsidDel="00000000" w:rsidP="00000000" w:rsidRDefault="00000000" w:rsidRPr="00000000" w14:paraId="0000018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EL-09</w:t>
            </w:r>
          </w:p>
        </w:tc>
        <w:tc>
          <w:tcPr>
            <w:vAlign w:val="center"/>
          </w:tcPr>
          <w:p w:rsidR="00000000" w:rsidDel="00000000" w:rsidP="00000000" w:rsidRDefault="00000000" w:rsidRPr="00000000" w14:paraId="0000018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Misleading compliance claim</w:t>
            </w:r>
          </w:p>
        </w:tc>
        <w:tc>
          <w:tcPr>
            <w:vAlign w:val="center"/>
          </w:tcPr>
          <w:p w:rsidR="00000000" w:rsidDel="00000000" w:rsidP="00000000" w:rsidRDefault="00000000" w:rsidRPr="00000000" w14:paraId="0000018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Management / regulator</w:t>
            </w:r>
          </w:p>
        </w:tc>
        <w:tc>
          <w:tcPr>
            <w:vAlign w:val="center"/>
          </w:tcPr>
          <w:p w:rsidR="00000000" w:rsidDel="00000000" w:rsidP="00000000" w:rsidRDefault="00000000" w:rsidRPr="00000000" w14:paraId="0000018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presented as certified or legally compliant without formal assessment.</w:t>
            </w:r>
          </w:p>
        </w:tc>
        <w:tc>
          <w:tcPr>
            <w:vAlign w:val="center"/>
          </w:tcPr>
          <w:p w:rsidR="00000000" w:rsidDel="00000000" w:rsidP="00000000" w:rsidRDefault="00000000" w:rsidRPr="00000000" w14:paraId="0000018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qualified language; document scope; obtain specialist assurance for production.</w:t>
            </w:r>
          </w:p>
        </w:tc>
      </w:tr>
      <w:tr>
        <w:trPr>
          <w:cantSplit w:val="1"/>
          <w:tblHeader w:val="0"/>
        </w:trPr>
        <w:tc>
          <w:tcPr>
            <w:vAlign w:val="center"/>
          </w:tcPr>
          <w:p w:rsidR="00000000" w:rsidDel="00000000" w:rsidP="00000000" w:rsidRDefault="00000000" w:rsidRPr="00000000" w14:paraId="0000018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EL-10</w:t>
            </w:r>
          </w:p>
        </w:tc>
        <w:tc>
          <w:tcPr>
            <w:vAlign w:val="center"/>
          </w:tcPr>
          <w:p w:rsidR="00000000" w:rsidDel="00000000" w:rsidP="00000000" w:rsidRDefault="00000000" w:rsidRPr="00000000" w14:paraId="0000018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Unclear accountability</w:t>
            </w:r>
          </w:p>
        </w:tc>
        <w:tc>
          <w:tcPr>
            <w:vAlign w:val="center"/>
          </w:tcPr>
          <w:p w:rsidR="00000000" w:rsidDel="00000000" w:rsidP="00000000" w:rsidRDefault="00000000" w:rsidRPr="00000000" w14:paraId="0000018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stakeholders</w:t>
            </w:r>
          </w:p>
        </w:tc>
        <w:tc>
          <w:tcPr>
            <w:vAlign w:val="center"/>
          </w:tcPr>
          <w:p w:rsidR="00000000" w:rsidDel="00000000" w:rsidP="00000000" w:rsidRDefault="00000000" w:rsidRPr="00000000" w14:paraId="0000018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owner for model/threshold decisions or alert escalation.</w:t>
            </w:r>
          </w:p>
        </w:tc>
        <w:tc>
          <w:tcPr>
            <w:vAlign w:val="center"/>
          </w:tcPr>
          <w:p w:rsidR="00000000" w:rsidDel="00000000" w:rsidP="00000000" w:rsidRDefault="00000000" w:rsidRPr="00000000" w14:paraId="0000018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Named roles, change approval and audit trail.</w:t>
            </w:r>
          </w:p>
        </w:tc>
      </w:tr>
      <w:tr>
        <w:trPr>
          <w:cantSplit w:val="1"/>
          <w:tblHeader w:val="0"/>
        </w:trPr>
        <w:tc>
          <w:tcPr>
            <w:vAlign w:val="center"/>
          </w:tcPr>
          <w:p w:rsidR="00000000" w:rsidDel="00000000" w:rsidP="00000000" w:rsidRDefault="00000000" w:rsidRPr="00000000" w14:paraId="0000018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EL-11</w:t>
            </w:r>
          </w:p>
        </w:tc>
        <w:tc>
          <w:tcPr>
            <w:vAlign w:val="center"/>
          </w:tcPr>
          <w:p w:rsidR="00000000" w:rsidDel="00000000" w:rsidP="00000000" w:rsidRDefault="00000000" w:rsidRPr="00000000" w14:paraId="0000018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IP/licensing breach</w:t>
            </w:r>
          </w:p>
        </w:tc>
        <w:tc>
          <w:tcPr>
            <w:vAlign w:val="center"/>
          </w:tcPr>
          <w:p w:rsidR="00000000" w:rsidDel="00000000" w:rsidP="00000000" w:rsidRDefault="00000000" w:rsidRPr="00000000" w14:paraId="0000018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Dataset/software owners / project</w:t>
            </w:r>
          </w:p>
        </w:tc>
        <w:tc>
          <w:tcPr>
            <w:vAlign w:val="center"/>
          </w:tcPr>
          <w:p w:rsidR="00000000" w:rsidDel="00000000" w:rsidP="00000000" w:rsidRDefault="00000000" w:rsidRPr="00000000" w14:paraId="0000019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Redistribution or reuse without licence compliance.</w:t>
            </w:r>
          </w:p>
        </w:tc>
        <w:tc>
          <w:tcPr>
            <w:vAlign w:val="center"/>
          </w:tcPr>
          <w:p w:rsidR="00000000" w:rsidDel="00000000" w:rsidP="00000000" w:rsidRDefault="00000000" w:rsidRPr="00000000" w14:paraId="0000019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Cite, link, preserve notices and verify distribution rights.</w:t>
            </w:r>
          </w:p>
        </w:tc>
      </w:tr>
      <w:tr>
        <w:trPr>
          <w:cantSplit w:val="1"/>
          <w:tblHeader w:val="0"/>
        </w:trPr>
        <w:tc>
          <w:tcPr>
            <w:vAlign w:val="center"/>
          </w:tcPr>
          <w:p w:rsidR="00000000" w:rsidDel="00000000" w:rsidP="00000000" w:rsidRDefault="00000000" w:rsidRPr="00000000" w14:paraId="0000019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EL-12</w:t>
            </w:r>
          </w:p>
        </w:tc>
        <w:tc>
          <w:tcPr>
            <w:vAlign w:val="center"/>
          </w:tcPr>
          <w:p w:rsidR="00000000" w:rsidDel="00000000" w:rsidP="00000000" w:rsidRDefault="00000000" w:rsidRPr="00000000" w14:paraId="0000019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Evidence manipulation / selective reporting</w:t>
            </w:r>
          </w:p>
        </w:tc>
        <w:tc>
          <w:tcPr>
            <w:vAlign w:val="center"/>
          </w:tcPr>
          <w:p w:rsidR="00000000" w:rsidDel="00000000" w:rsidP="00000000" w:rsidRDefault="00000000" w:rsidRPr="00000000" w14:paraId="0000019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Marker / stakeholders</w:t>
            </w:r>
          </w:p>
        </w:tc>
        <w:tc>
          <w:tcPr>
            <w:vAlign w:val="center"/>
          </w:tcPr>
          <w:p w:rsidR="00000000" w:rsidDel="00000000" w:rsidP="00000000" w:rsidRDefault="00000000" w:rsidRPr="00000000" w14:paraId="0000019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favourable results shown.</w:t>
            </w:r>
          </w:p>
        </w:tc>
        <w:tc>
          <w:tcPr>
            <w:vAlign w:val="center"/>
          </w:tcPr>
          <w:p w:rsidR="00000000" w:rsidDel="00000000" w:rsidP="00000000" w:rsidRDefault="00000000" w:rsidRPr="00000000" w14:paraId="0000019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negative results, provenance and reproducible outputs.</w:t>
            </w:r>
          </w:p>
        </w:tc>
      </w:tr>
    </w:tbl>
    <w:p w:rsidR="00000000" w:rsidDel="00000000" w:rsidP="00000000" w:rsidRDefault="00000000" w:rsidRPr="00000000" w14:paraId="0000019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Governance Controls and Deployment Requirements</w:t>
      </w:r>
    </w:p>
    <w:p w:rsidR="00000000" w:rsidDel="00000000" w:rsidP="00000000" w:rsidRDefault="00000000" w:rsidRPr="00000000" w14:paraId="00000199">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prototype already implements several ethical safeguards, but production governance requires controls that are organisational as well as technical. The table separates what exists now from what should be required before live use.</w:t>
      </w:r>
      <w:r w:rsidDel="00000000" w:rsidR="00000000" w:rsidRPr="00000000">
        <w:rPr>
          <w:rtl w:val="0"/>
        </w:rPr>
      </w:r>
    </w:p>
    <w:tbl>
      <w:tblPr>
        <w:tblStyle w:val="Table9"/>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3390"/>
        <w:gridCol w:w="4635"/>
        <w:tblGridChange w:id="0">
          <w:tblGrid>
            <w:gridCol w:w="2145"/>
            <w:gridCol w:w="3390"/>
            <w:gridCol w:w="4635"/>
          </w:tblGrid>
        </w:tblGridChange>
      </w:tblGrid>
      <w:tr>
        <w:trPr>
          <w:cantSplit w:val="0"/>
          <w:tblHeader w:val="1"/>
        </w:trPr>
        <w:tc>
          <w:tcPr>
            <w:vAlign w:val="center"/>
          </w:tcPr>
          <w:p w:rsidR="00000000" w:rsidDel="00000000" w:rsidP="00000000" w:rsidRDefault="00000000" w:rsidRPr="00000000" w14:paraId="0000019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Governance area</w:t>
            </w:r>
            <w:r w:rsidDel="00000000" w:rsidR="00000000" w:rsidRPr="00000000">
              <w:rPr>
                <w:rtl w:val="0"/>
              </w:rPr>
            </w:r>
          </w:p>
        </w:tc>
        <w:tc>
          <w:tcPr>
            <w:vAlign w:val="center"/>
          </w:tcPr>
          <w:p w:rsidR="00000000" w:rsidDel="00000000" w:rsidP="00000000" w:rsidRDefault="00000000" w:rsidRPr="00000000" w14:paraId="0000019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Prototype evidence</w:t>
            </w:r>
            <w:r w:rsidDel="00000000" w:rsidR="00000000" w:rsidRPr="00000000">
              <w:rPr>
                <w:rtl w:val="0"/>
              </w:rPr>
            </w:r>
          </w:p>
        </w:tc>
        <w:tc>
          <w:tcPr>
            <w:vAlign w:val="center"/>
          </w:tcPr>
          <w:p w:rsidR="00000000" w:rsidDel="00000000" w:rsidP="00000000" w:rsidRDefault="00000000" w:rsidRPr="00000000" w14:paraId="0000019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before 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Authority &amp; purpose</w:t>
            </w:r>
          </w:p>
        </w:tc>
        <w:tc>
          <w:tcPr>
            <w:vAlign w:val="center"/>
          </w:tcPr>
          <w:p w:rsidR="00000000" w:rsidDel="00000000" w:rsidP="00000000" w:rsidRDefault="00000000" w:rsidRPr="00000000" w14:paraId="0000019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Academic project scope; isolated lab.</w:t>
            </w:r>
          </w:p>
        </w:tc>
        <w:tc>
          <w:tcPr>
            <w:vAlign w:val="center"/>
          </w:tcPr>
          <w:p w:rsidR="00000000" w:rsidDel="00000000" w:rsidP="00000000" w:rsidRDefault="00000000" w:rsidRPr="00000000" w14:paraId="0000019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Approved monitoring purpose, legal applicability assessment and designated system owner.</w:t>
            </w:r>
          </w:p>
        </w:tc>
      </w:tr>
      <w:tr>
        <w:trPr>
          <w:cantSplit w:val="1"/>
          <w:tblHeader w:val="0"/>
        </w:trPr>
        <w:tc>
          <w:tcPr>
            <w:vAlign w:val="center"/>
          </w:tcPr>
          <w:p w:rsidR="00000000" w:rsidDel="00000000" w:rsidP="00000000" w:rsidRDefault="00000000" w:rsidRPr="00000000" w14:paraId="000001A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governance</w:t>
            </w:r>
          </w:p>
        </w:tc>
        <w:tc>
          <w:tcPr>
            <w:vAlign w:val="center"/>
          </w:tcPr>
          <w:p w:rsidR="00000000" w:rsidDel="00000000" w:rsidP="00000000" w:rsidRDefault="00000000" w:rsidRPr="00000000" w14:paraId="000001A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Metadata/feature focus; no real customer financial records.</w:t>
            </w:r>
          </w:p>
        </w:tc>
        <w:tc>
          <w:tcPr>
            <w:vAlign w:val="center"/>
          </w:tcPr>
          <w:p w:rsidR="00000000" w:rsidDel="00000000" w:rsidP="00000000" w:rsidRDefault="00000000" w:rsidRPr="00000000" w14:paraId="000001A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inventory, classification, access roles, retention/deletion schedule and cross-border review if relevant.</w:t>
            </w:r>
          </w:p>
        </w:tc>
      </w:tr>
      <w:tr>
        <w:trPr>
          <w:cantSplit w:val="1"/>
          <w:tblHeader w:val="0"/>
        </w:trPr>
        <w:tc>
          <w:tcPr>
            <w:vAlign w:val="center"/>
          </w:tcPr>
          <w:p w:rsidR="00000000" w:rsidDel="00000000" w:rsidP="00000000" w:rsidRDefault="00000000" w:rsidRPr="00000000" w14:paraId="000001A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governance</w:t>
            </w:r>
          </w:p>
        </w:tc>
        <w:tc>
          <w:tcPr>
            <w:vAlign w:val="center"/>
          </w:tcPr>
          <w:p w:rsidR="00000000" w:rsidDel="00000000" w:rsidP="00000000" w:rsidRDefault="00000000" w:rsidRPr="00000000" w14:paraId="000001A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documented models and saved artefacts.</w:t>
            </w:r>
          </w:p>
        </w:tc>
        <w:tc>
          <w:tcPr>
            <w:vAlign w:val="center"/>
          </w:tcPr>
          <w:p w:rsidR="00000000" w:rsidDel="00000000" w:rsidP="00000000" w:rsidRDefault="00000000" w:rsidRPr="00000000" w14:paraId="000001A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register, approved versions, validation criteria, retirement process and monitoring owner.</w:t>
            </w:r>
          </w:p>
        </w:tc>
      </w:tr>
      <w:tr>
        <w:trPr>
          <w:cantSplit w:val="1"/>
          <w:tblHeader w:val="0"/>
        </w:trPr>
        <w:tc>
          <w:tcPr>
            <w:vAlign w:val="center"/>
          </w:tcPr>
          <w:p w:rsidR="00000000" w:rsidDel="00000000" w:rsidP="00000000" w:rsidRDefault="00000000" w:rsidRPr="00000000" w14:paraId="000001A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governance</w:t>
            </w:r>
          </w:p>
        </w:tc>
        <w:tc>
          <w:tcPr>
            <w:vAlign w:val="center"/>
          </w:tcPr>
          <w:p w:rsidR="00000000" w:rsidDel="00000000" w:rsidP="00000000" w:rsidRDefault="00000000" w:rsidRPr="00000000" w14:paraId="000001A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methodology and sensitivity analysis in TA6.</w:t>
            </w:r>
          </w:p>
        </w:tc>
        <w:tc>
          <w:tcPr>
            <w:vAlign w:val="center"/>
          </w:tcPr>
          <w:p w:rsidR="00000000" w:rsidDel="00000000" w:rsidP="00000000" w:rsidRDefault="00000000" w:rsidRPr="00000000" w14:paraId="000001A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register with calibration source, approval, expected alert budget and review trigger.</w:t>
            </w:r>
          </w:p>
        </w:tc>
      </w:tr>
      <w:tr>
        <w:trPr>
          <w:cantSplit w:val="1"/>
          <w:tblHeader w:val="0"/>
        </w:trPr>
        <w:tc>
          <w:tcPr>
            <w:vAlign w:val="center"/>
          </w:tcPr>
          <w:p w:rsidR="00000000" w:rsidDel="00000000" w:rsidP="00000000" w:rsidRDefault="00000000" w:rsidRPr="00000000" w14:paraId="000001A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Human oversight</w:t>
            </w:r>
          </w:p>
        </w:tc>
        <w:tc>
          <w:tcPr>
            <w:vAlign w:val="center"/>
          </w:tcPr>
          <w:p w:rsidR="00000000" w:rsidDel="00000000" w:rsidP="00000000" w:rsidRDefault="00000000" w:rsidRPr="00000000" w14:paraId="000001A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Analyst-facing Streamlit; no automatic blocking.</w:t>
            </w:r>
          </w:p>
        </w:tc>
        <w:tc>
          <w:tcPr>
            <w:vAlign w:val="center"/>
          </w:tcPr>
          <w:p w:rsidR="00000000" w:rsidDel="00000000" w:rsidP="00000000" w:rsidRDefault="00000000" w:rsidRPr="00000000" w14:paraId="000001A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Escalation matrix, benign-alert feedback, contestability and authority limits.</w:t>
            </w:r>
          </w:p>
        </w:tc>
      </w:tr>
      <w:tr>
        <w:trPr>
          <w:cantSplit w:val="1"/>
          <w:tblHeader w:val="0"/>
        </w:trPr>
        <w:tc>
          <w:tcPr>
            <w:vAlign w:val="center"/>
          </w:tcPr>
          <w:p w:rsidR="00000000" w:rsidDel="00000000" w:rsidP="00000000" w:rsidRDefault="00000000" w:rsidRPr="00000000" w14:paraId="000001A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testing</w:t>
            </w:r>
          </w:p>
        </w:tc>
        <w:tc>
          <w:tcPr>
            <w:vAlign w:val="center"/>
          </w:tcPr>
          <w:p w:rsidR="00000000" w:rsidDel="00000000" w:rsidP="00000000" w:rsidRDefault="00000000" w:rsidRPr="00000000" w14:paraId="000001A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Controlled GNS3/VMware/Kali lab.</w:t>
            </w:r>
          </w:p>
        </w:tc>
        <w:tc>
          <w:tcPr>
            <w:vAlign w:val="center"/>
          </w:tcPr>
          <w:p w:rsidR="00000000" w:rsidDel="00000000" w:rsidP="00000000" w:rsidRDefault="00000000" w:rsidRPr="00000000" w14:paraId="000001A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Written rules of engagement and approval for any testing outside the lab.</w:t>
            </w:r>
          </w:p>
        </w:tc>
      </w:tr>
      <w:tr>
        <w:trPr>
          <w:cantSplit w:val="1"/>
          <w:tblHeader w:val="0"/>
        </w:trPr>
        <w:tc>
          <w:tcPr>
            <w:vAlign w:val="center"/>
          </w:tcPr>
          <w:p w:rsidR="00000000" w:rsidDel="00000000" w:rsidP="00000000" w:rsidRDefault="00000000" w:rsidRPr="00000000" w14:paraId="000001A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Incident response</w:t>
            </w:r>
          </w:p>
        </w:tc>
        <w:tc>
          <w:tcPr>
            <w:vAlign w:val="center"/>
          </w:tcPr>
          <w:p w:rsidR="00000000" w:rsidDel="00000000" w:rsidP="00000000" w:rsidRDefault="00000000" w:rsidRPr="00000000" w14:paraId="000001B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evidence retained.</w:t>
            </w:r>
          </w:p>
        </w:tc>
        <w:tc>
          <w:tcPr>
            <w:vAlign w:val="center"/>
          </w:tcPr>
          <w:p w:rsidR="00000000" w:rsidDel="00000000" w:rsidP="00000000" w:rsidRDefault="00000000" w:rsidRPr="00000000" w14:paraId="000001B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Incident playbook linking security containment, privacy assessment, legal notification and management escalation.</w:t>
            </w:r>
          </w:p>
        </w:tc>
      </w:tr>
      <w:tr>
        <w:trPr>
          <w:cantSplit w:val="1"/>
          <w:tblHeader w:val="0"/>
        </w:trPr>
        <w:tc>
          <w:tcPr>
            <w:vAlign w:val="center"/>
          </w:tcPr>
          <w:p w:rsidR="00000000" w:rsidDel="00000000" w:rsidP="00000000" w:rsidRDefault="00000000" w:rsidRPr="00000000" w14:paraId="000001B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 parties</w:t>
            </w:r>
          </w:p>
        </w:tc>
        <w:tc>
          <w:tcPr>
            <w:vAlign w:val="center"/>
          </w:tcPr>
          <w:p w:rsidR="00000000" w:rsidDel="00000000" w:rsidP="00000000" w:rsidRDefault="00000000" w:rsidRPr="00000000" w14:paraId="000001B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Research datasets and common libraries.</w:t>
            </w:r>
          </w:p>
        </w:tc>
        <w:tc>
          <w:tcPr>
            <w:vAlign w:val="center"/>
          </w:tcPr>
          <w:p w:rsidR="00000000" w:rsidDel="00000000" w:rsidP="00000000" w:rsidRDefault="00000000" w:rsidRPr="00000000" w14:paraId="000001B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Supplier/processor assessment, contract/privacy terms and dependency/licence register.</w:t>
            </w:r>
          </w:p>
        </w:tc>
      </w:tr>
      <w:tr>
        <w:trPr>
          <w:cantSplit w:val="1"/>
          <w:tblHeader w:val="0"/>
        </w:trPr>
        <w:tc>
          <w:tcPr>
            <w:vAlign w:val="center"/>
          </w:tcPr>
          <w:p w:rsidR="00000000" w:rsidDel="00000000" w:rsidP="00000000" w:rsidRDefault="00000000" w:rsidRPr="00000000" w14:paraId="000001B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Assurance</w:t>
            </w:r>
          </w:p>
        </w:tc>
        <w:tc>
          <w:tcPr>
            <w:vAlign w:val="center"/>
          </w:tcPr>
          <w:p w:rsidR="00000000" w:rsidDel="00000000" w:rsidP="00000000" w:rsidRDefault="00000000" w:rsidRPr="00000000" w14:paraId="000001B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Reports, GitHub/source artefacts and repeatable evaluation.</w:t>
            </w:r>
          </w:p>
        </w:tc>
        <w:tc>
          <w:tcPr>
            <w:vAlign w:val="center"/>
          </w:tcPr>
          <w:p w:rsidR="00000000" w:rsidDel="00000000" w:rsidP="00000000" w:rsidRDefault="00000000" w:rsidRPr="00000000" w14:paraId="000001B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Independent review proportionate to risk; legal/compliance review where applicable.</w:t>
            </w:r>
          </w:p>
        </w:tc>
      </w:tr>
    </w:tbl>
    <w:p w:rsidR="00000000" w:rsidDel="00000000" w:rsidP="00000000" w:rsidRDefault="00000000" w:rsidRPr="00000000" w14:paraId="000001B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Style w:val="Heading2"/>
        <w:keepNext w:val="1"/>
        <w:spacing w:after="60" w:before="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11.1 Minimum Production Governance Pack</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System purpose and monitoring authority statement.</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Data inventory and retention/deletion schedule.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Privacy/legal applicability assessment for the actual organisation.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Model card / model register and approved preprocessing version.</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Threshold calibration record and approval history.</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Analyst operating procedure and false-positive feedback process.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Incident response and breach-assessment procedure.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Access-control matrix for logs, PCAPs, database and dashboard.</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Third-party software/dataset licence register.</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Periodic review schedule covering drift, accuracy, privacy and user impact.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36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C5">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Accountability, Escalation and Contestability</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vAlign w:val="center"/>
          </w:tcPr>
          <w:p w:rsidR="00000000" w:rsidDel="00000000" w:rsidP="00000000" w:rsidRDefault="00000000" w:rsidRPr="00000000" w14:paraId="000001C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Decision / event</w:t>
            </w:r>
            <w:r w:rsidDel="00000000" w:rsidR="00000000" w:rsidRPr="00000000">
              <w:rPr>
                <w:rtl w:val="0"/>
              </w:rPr>
            </w:r>
          </w:p>
        </w:tc>
        <w:tc>
          <w:tcPr>
            <w:vAlign w:val="center"/>
          </w:tcPr>
          <w:p w:rsidR="00000000" w:rsidDel="00000000" w:rsidP="00000000" w:rsidRDefault="00000000" w:rsidRPr="00000000" w14:paraId="000001C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Primary accountable role</w:t>
            </w:r>
            <w:r w:rsidDel="00000000" w:rsidR="00000000" w:rsidRPr="00000000">
              <w:rPr>
                <w:rtl w:val="0"/>
              </w:rPr>
            </w:r>
          </w:p>
        </w:tc>
        <w:tc>
          <w:tcPr>
            <w:vAlign w:val="center"/>
          </w:tcPr>
          <w:p w:rsidR="00000000" w:rsidDel="00000000" w:rsidP="00000000" w:rsidRDefault="00000000" w:rsidRPr="00000000" w14:paraId="000001C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evidence</w:t>
            </w:r>
            <w:r w:rsidDel="00000000" w:rsidR="00000000" w:rsidRPr="00000000">
              <w:rPr>
                <w:rtl w:val="0"/>
              </w:rPr>
            </w:r>
          </w:p>
        </w:tc>
        <w:tc>
          <w:tcPr>
            <w:vAlign w:val="center"/>
          </w:tcPr>
          <w:p w:rsidR="00000000" w:rsidDel="00000000" w:rsidP="00000000" w:rsidRDefault="00000000" w:rsidRPr="00000000" w14:paraId="000001C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Escalation / review</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Deploy or materially change monitoring</w:t>
            </w:r>
          </w:p>
        </w:tc>
        <w:tc>
          <w:tcPr>
            <w:vAlign w:val="center"/>
          </w:tcPr>
          <w:p w:rsidR="00000000" w:rsidDel="00000000" w:rsidP="00000000" w:rsidRDefault="00000000" w:rsidRPr="00000000" w14:paraId="000001C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SME security/technology owner</w:t>
            </w:r>
          </w:p>
        </w:tc>
        <w:tc>
          <w:tcPr>
            <w:vAlign w:val="center"/>
          </w:tcPr>
          <w:p w:rsidR="00000000" w:rsidDel="00000000" w:rsidP="00000000" w:rsidRDefault="00000000" w:rsidRPr="00000000" w14:paraId="000001C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Approved purpose, scope, legal/privacy assessment, change record.</w:t>
            </w:r>
          </w:p>
        </w:tc>
        <w:tc>
          <w:tcPr>
            <w:vAlign w:val="center"/>
          </w:tcPr>
          <w:p w:rsidR="00000000" w:rsidDel="00000000" w:rsidP="00000000" w:rsidRDefault="00000000" w:rsidRPr="00000000" w14:paraId="000001C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Management/compliance review for high-impact changes.</w:t>
            </w:r>
          </w:p>
        </w:tc>
      </w:tr>
      <w:tr>
        <w:trPr>
          <w:cantSplit w:val="1"/>
          <w:tblHeader w:val="0"/>
        </w:trPr>
        <w:tc>
          <w:tcPr>
            <w:vAlign w:val="center"/>
          </w:tcPr>
          <w:p w:rsidR="00000000" w:rsidDel="00000000" w:rsidP="00000000" w:rsidRDefault="00000000" w:rsidRPr="00000000" w14:paraId="000001C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Change model/preprocessor</w:t>
            </w:r>
          </w:p>
        </w:tc>
        <w:tc>
          <w:tcPr>
            <w:vAlign w:val="center"/>
          </w:tcPr>
          <w:p w:rsidR="00000000" w:rsidDel="00000000" w:rsidP="00000000" w:rsidRDefault="00000000" w:rsidRPr="00000000" w14:paraId="000001C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Model/system maintainer</w:t>
            </w:r>
          </w:p>
        </w:tc>
        <w:tc>
          <w:tcPr>
            <w:vAlign w:val="center"/>
          </w:tcPr>
          <w:p w:rsidR="00000000" w:rsidDel="00000000" w:rsidP="00000000" w:rsidRDefault="00000000" w:rsidRPr="00000000" w14:paraId="000001D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Version, test results, compatibility checks.</w:t>
            </w:r>
          </w:p>
        </w:tc>
        <w:tc>
          <w:tcPr>
            <w:vAlign w:val="center"/>
          </w:tcPr>
          <w:p w:rsidR="00000000" w:rsidDel="00000000" w:rsidP="00000000" w:rsidRDefault="00000000" w:rsidRPr="00000000" w14:paraId="000001D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Technical peer review before release.</w:t>
            </w:r>
          </w:p>
        </w:tc>
      </w:tr>
      <w:tr>
        <w:trPr>
          <w:cantSplit w:val="1"/>
          <w:tblHeader w:val="0"/>
        </w:trPr>
        <w:tc>
          <w:tcPr>
            <w:vAlign w:val="center"/>
          </w:tcPr>
          <w:p w:rsidR="00000000" w:rsidDel="00000000" w:rsidP="00000000" w:rsidRDefault="00000000" w:rsidRPr="00000000" w14:paraId="000001D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Change threshold</w:t>
            </w:r>
          </w:p>
        </w:tc>
        <w:tc>
          <w:tcPr>
            <w:vAlign w:val="center"/>
          </w:tcPr>
          <w:p w:rsidR="00000000" w:rsidDel="00000000" w:rsidP="00000000" w:rsidRDefault="00000000" w:rsidRPr="00000000" w14:paraId="000001D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owner / delegated analyst</w:t>
            </w:r>
          </w:p>
        </w:tc>
        <w:tc>
          <w:tcPr>
            <w:vAlign w:val="center"/>
          </w:tcPr>
          <w:p w:rsidR="00000000" w:rsidDel="00000000" w:rsidP="00000000" w:rsidRDefault="00000000" w:rsidRPr="00000000" w14:paraId="000001D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dataset, percentile/budget, TA6 metrics, rationale.</w:t>
            </w:r>
          </w:p>
        </w:tc>
        <w:tc>
          <w:tcPr>
            <w:vAlign w:val="center"/>
          </w:tcPr>
          <w:p w:rsidR="00000000" w:rsidDel="00000000" w:rsidP="00000000" w:rsidRDefault="00000000" w:rsidRPr="00000000" w14:paraId="000001D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if FPR/recall/drift trigger is breached.</w:t>
            </w:r>
          </w:p>
        </w:tc>
      </w:tr>
      <w:tr>
        <w:trPr>
          <w:cantSplit w:val="1"/>
          <w:tblHeader w:val="0"/>
        </w:trPr>
        <w:tc>
          <w:tcPr>
            <w:vAlign w:val="center"/>
          </w:tcPr>
          <w:p w:rsidR="00000000" w:rsidDel="00000000" w:rsidP="00000000" w:rsidRDefault="00000000" w:rsidRPr="00000000" w14:paraId="000001D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Escalate anomaly as security incident</w:t>
            </w:r>
          </w:p>
        </w:tc>
        <w:tc>
          <w:tcPr>
            <w:vAlign w:val="center"/>
          </w:tcPr>
          <w:p w:rsidR="00000000" w:rsidDel="00000000" w:rsidP="00000000" w:rsidRDefault="00000000" w:rsidRPr="00000000" w14:paraId="000001D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analyst</w:t>
            </w:r>
          </w:p>
        </w:tc>
        <w:tc>
          <w:tcPr>
            <w:vAlign w:val="center"/>
          </w:tcPr>
          <w:p w:rsidR="00000000" w:rsidDel="00000000" w:rsidP="00000000" w:rsidRDefault="00000000" w:rsidRPr="00000000" w14:paraId="000001D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Alert, explanation, supporting Zeek/PCAP/context.</w:t>
            </w:r>
          </w:p>
        </w:tc>
        <w:tc>
          <w:tcPr>
            <w:vAlign w:val="center"/>
          </w:tcPr>
          <w:p w:rsidR="00000000" w:rsidDel="00000000" w:rsidP="00000000" w:rsidRDefault="00000000" w:rsidRPr="00000000" w14:paraId="000001D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Incident-response lead; do not rely on score alone.</w:t>
            </w:r>
          </w:p>
        </w:tc>
      </w:tr>
      <w:tr>
        <w:trPr>
          <w:cantSplit w:val="1"/>
          <w:tblHeader w:val="0"/>
        </w:trPr>
        <w:tc>
          <w:tcPr>
            <w:vAlign w:val="center"/>
          </w:tcPr>
          <w:p w:rsidR="00000000" w:rsidDel="00000000" w:rsidP="00000000" w:rsidRDefault="00000000" w:rsidRPr="00000000" w14:paraId="000001D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Action affecting employee/user</w:t>
            </w:r>
          </w:p>
        </w:tc>
        <w:tc>
          <w:tcPr>
            <w:vAlign w:val="center"/>
          </w:tcPr>
          <w:p w:rsidR="00000000" w:rsidDel="00000000" w:rsidP="00000000" w:rsidRDefault="00000000" w:rsidRPr="00000000" w14:paraId="000001D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Authorised manager/security lead</w:t>
            </w:r>
          </w:p>
        </w:tc>
        <w:tc>
          <w:tcPr>
            <w:vAlign w:val="center"/>
          </w:tcPr>
          <w:p w:rsidR="00000000" w:rsidDel="00000000" w:rsidP="00000000" w:rsidRDefault="00000000" w:rsidRPr="00000000" w14:paraId="000001D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Corroborating evidence and applicable organisational process.</w:t>
            </w:r>
          </w:p>
        </w:tc>
        <w:tc>
          <w:tcPr>
            <w:vAlign w:val="center"/>
          </w:tcPr>
          <w:p w:rsidR="00000000" w:rsidDel="00000000" w:rsidP="00000000" w:rsidRDefault="00000000" w:rsidRPr="00000000" w14:paraId="000001D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Human review/contestability before adverse action.</w:t>
            </w:r>
          </w:p>
        </w:tc>
      </w:tr>
      <w:tr>
        <w:trPr>
          <w:cantSplit w:val="1"/>
          <w:tblHeader w:val="0"/>
        </w:trPr>
        <w:tc>
          <w:tcPr>
            <w:vAlign w:val="center"/>
          </w:tcPr>
          <w:p w:rsidR="00000000" w:rsidDel="00000000" w:rsidP="00000000" w:rsidRDefault="00000000" w:rsidRPr="00000000" w14:paraId="000001D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Suspected privacy/data breach</w:t>
            </w:r>
          </w:p>
        </w:tc>
        <w:tc>
          <w:tcPr>
            <w:vAlign w:val="center"/>
          </w:tcPr>
          <w:p w:rsidR="00000000" w:rsidDel="00000000" w:rsidP="00000000" w:rsidRDefault="00000000" w:rsidRPr="00000000" w14:paraId="000001D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Privacy/security responsible role</w:t>
            </w:r>
          </w:p>
        </w:tc>
        <w:tc>
          <w:tcPr>
            <w:vAlign w:val="center"/>
          </w:tcPr>
          <w:p w:rsidR="00000000" w:rsidDel="00000000" w:rsidP="00000000" w:rsidRDefault="00000000" w:rsidRPr="00000000" w14:paraId="000001E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Affected data, access/disclosure facts, containment and harm assessment.</w:t>
            </w:r>
          </w:p>
        </w:tc>
        <w:tc>
          <w:tcPr>
            <w:vAlign w:val="center"/>
          </w:tcPr>
          <w:p w:rsidR="00000000" w:rsidDel="00000000" w:rsidP="00000000" w:rsidRDefault="00000000" w:rsidRPr="00000000" w14:paraId="000001E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Follow NDB/legal process if applicable.</w:t>
            </w:r>
          </w:p>
        </w:tc>
      </w:tr>
    </w:tbl>
    <w:p w:rsidR="00000000" w:rsidDel="00000000" w:rsidP="00000000" w:rsidRDefault="00000000" w:rsidRPr="00000000" w14:paraId="000001E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Limitations of this Ethical and Legal Analysis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target organisation is a scenario rather than a named legal entity, so precise Privacy Act, licensing, AML/CTF, workplace and contractual obligations cannot be conclusively determined.</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analysis focuses on Australian federal privacy and financial-services context; state/territory workplace-surveillance, records and sector rules may add obligations.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project uses public benchmark data and an isolated lab rather than real employee/customer telemetry, so some privacy and social impacts can only be anticipated, not empirically measured.</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dashboard is a prototype and does not implement the full identity, access, audit and workflow features recommended for production.</w:t>
      </w:r>
    </w:p>
    <w:p>
      <w:pPr>
        <w:spacing w:after="120"/>
      </w:pPr>
      <w:r>
        <w:rPr>
          <w:rFonts w:ascii="Times New Roman" w:hAnsi="Times New Roman"/>
          <w:sz w:val="22"/>
        </w:rPr>
        <w:t>Implementation-status clarification: The prototype demonstrates isolated laboratory testing, derived network-flow features, stored evaluation outputs and an analyst-facing interface. Authentication, role-based access control, operational retention enforcement, independent audit logging and real-world incident or employee appeals procedures are recommendations for future deployment, not features verified as implemented in the provided project evidence.</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Explainability methods describe model behaviour and cannot establish human intent or legal responsibility.</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AI, privacy and financial-services regulation can change; production deployment requires a current review rather than relying indefinitely on this October 2026 academic artefact.</w:t>
      </w:r>
    </w:p>
    <w:p w:rsidR="00000000" w:rsidDel="00000000" w:rsidP="00000000" w:rsidRDefault="00000000" w:rsidRPr="00000000" w14:paraId="000001EA">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Recommendations</w:t>
      </w:r>
    </w:p>
    <w:tbl>
      <w:tblPr>
        <w:tblStyle w:val="Table11"/>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9285"/>
        <w:tblGridChange w:id="0">
          <w:tblGrid>
            <w:gridCol w:w="885"/>
            <w:gridCol w:w="9285"/>
          </w:tblGrid>
        </w:tblGridChange>
      </w:tblGrid>
      <w:tr>
        <w:trPr>
          <w:cantSplit w:val="0"/>
          <w:tblHeader w:val="1"/>
        </w:trPr>
        <w:tc>
          <w:tcPr>
            <w:vAlign w:val="center"/>
          </w:tcPr>
          <w:p w:rsidR="00000000" w:rsidDel="00000000" w:rsidP="00000000" w:rsidRDefault="00000000" w:rsidRPr="00000000" w14:paraId="000001E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vAlign w:val="center"/>
          </w:tcPr>
          <w:p w:rsidR="00000000" w:rsidDel="00000000" w:rsidP="00000000" w:rsidRDefault="00000000" w:rsidRPr="00000000" w14:paraId="000001E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Recommendation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E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w:t>
            </w:r>
          </w:p>
        </w:tc>
        <w:tc>
          <w:tcPr>
            <w:vAlign w:val="center"/>
          </w:tcPr>
          <w:p w:rsidR="00000000" w:rsidDel="00000000" w:rsidP="00000000" w:rsidRDefault="00000000" w:rsidRPr="00000000" w14:paraId="000001E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Perform an organisation-specific legal/privacy applicability assessment before using real employee or customer-related telemetry.</w:t>
            </w:r>
          </w:p>
        </w:tc>
      </w:tr>
      <w:tr>
        <w:trPr>
          <w:cantSplit w:val="1"/>
          <w:tblHeader w:val="0"/>
        </w:trPr>
        <w:tc>
          <w:tcPr>
            <w:vAlign w:val="center"/>
          </w:tcPr>
          <w:p w:rsidR="00000000" w:rsidDel="00000000" w:rsidP="00000000" w:rsidRDefault="00000000" w:rsidRPr="00000000" w14:paraId="000001E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R2</w:t>
            </w:r>
          </w:p>
        </w:tc>
        <w:tc>
          <w:tcPr>
            <w:vAlign w:val="center"/>
          </w:tcPr>
          <w:p w:rsidR="00000000" w:rsidDel="00000000" w:rsidP="00000000" w:rsidRDefault="00000000" w:rsidRPr="00000000" w14:paraId="000001F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Adopt privacy-by-design defaults: metadata minimisation, role-based access, defined retention and no unnecessary payload collection.</w:t>
            </w:r>
          </w:p>
        </w:tc>
      </w:tr>
      <w:tr>
        <w:trPr>
          <w:cantSplit w:val="1"/>
          <w:tblHeader w:val="0"/>
        </w:trPr>
        <w:tc>
          <w:tcPr>
            <w:vAlign w:val="center"/>
          </w:tcPr>
          <w:p w:rsidR="00000000" w:rsidDel="00000000" w:rsidP="00000000" w:rsidRDefault="00000000" w:rsidRPr="00000000" w14:paraId="000001F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R3</w:t>
            </w:r>
          </w:p>
        </w:tc>
        <w:tc>
          <w:tcPr>
            <w:vAlign w:val="center"/>
          </w:tcPr>
          <w:p w:rsidR="00000000" w:rsidDel="00000000" w:rsidP="00000000" w:rsidRDefault="00000000" w:rsidRPr="00000000" w14:paraId="000001F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 the detector advisory. Require human review and corroborating evidence before blocking, disciplinary or customer-impacting action.</w:t>
            </w:r>
          </w:p>
        </w:tc>
      </w:tr>
      <w:tr>
        <w:trPr>
          <w:cantSplit w:val="1"/>
          <w:tblHeader w:val="0"/>
        </w:trPr>
        <w:tc>
          <w:tcPr>
            <w:vAlign w:val="center"/>
          </w:tcPr>
          <w:p w:rsidR="00000000" w:rsidDel="00000000" w:rsidP="00000000" w:rsidRDefault="00000000" w:rsidRPr="00000000" w14:paraId="000001F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R4</w:t>
            </w:r>
          </w:p>
        </w:tc>
        <w:tc>
          <w:tcPr>
            <w:vAlign w:val="center"/>
          </w:tcPr>
          <w:p w:rsidR="00000000" w:rsidDel="00000000" w:rsidP="00000000" w:rsidRDefault="00000000" w:rsidRPr="00000000" w14:paraId="000001F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 threshold changes as governed decisions with owner, calibration provenance, approval and periodic review.</w:t>
            </w:r>
          </w:p>
        </w:tc>
      </w:tr>
      <w:tr>
        <w:trPr>
          <w:cantSplit w:val="1"/>
          <w:tblHeader w:val="0"/>
        </w:trPr>
        <w:tc>
          <w:tcPr>
            <w:vAlign w:val="center"/>
          </w:tcPr>
          <w:p w:rsidR="00000000" w:rsidDel="00000000" w:rsidP="00000000" w:rsidRDefault="00000000" w:rsidRPr="00000000" w14:paraId="000001F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R5</w:t>
            </w:r>
          </w:p>
        </w:tc>
        <w:tc>
          <w:tcPr>
            <w:vAlign w:val="center"/>
          </w:tcPr>
          <w:p w:rsidR="00000000" w:rsidDel="00000000" w:rsidP="00000000" w:rsidRDefault="00000000" w:rsidRPr="00000000" w14:paraId="000001F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an analyst feedback process so repeated benign alerts trigger model/threshold review rather than informal workarounds.</w:t>
            </w:r>
          </w:p>
        </w:tc>
      </w:tr>
      <w:tr>
        <w:trPr>
          <w:cantSplit w:val="1"/>
          <w:tblHeader w:val="0"/>
        </w:trPr>
        <w:tc>
          <w:tcPr>
            <w:vAlign w:val="center"/>
          </w:tcPr>
          <w:p w:rsidR="00000000" w:rsidDel="00000000" w:rsidP="00000000" w:rsidRDefault="00000000" w:rsidRPr="00000000" w14:paraId="000001F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R6</w:t>
            </w:r>
          </w:p>
        </w:tc>
        <w:tc>
          <w:tcPr>
            <w:vAlign w:val="center"/>
          </w:tcPr>
          <w:p w:rsidR="00000000" w:rsidDel="00000000" w:rsidP="00000000" w:rsidRDefault="00000000" w:rsidRPr="00000000" w14:paraId="000001F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Publish model limitations alongside performance: domain dependence, known blind spots, explanation limits and confidence boundaries.</w:t>
            </w:r>
          </w:p>
        </w:tc>
      </w:tr>
      <w:tr>
        <w:trPr>
          <w:cantSplit w:val="1"/>
          <w:tblHeader w:val="0"/>
        </w:trPr>
        <w:tc>
          <w:tcPr>
            <w:vAlign w:val="center"/>
          </w:tcPr>
          <w:p w:rsidR="00000000" w:rsidDel="00000000" w:rsidP="00000000" w:rsidRDefault="00000000" w:rsidRPr="00000000" w14:paraId="000001F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R7</w:t>
            </w:r>
          </w:p>
        </w:tc>
        <w:tc>
          <w:tcPr>
            <w:vAlign w:val="center"/>
          </w:tcPr>
          <w:p w:rsidR="00000000" w:rsidDel="00000000" w:rsidP="00000000" w:rsidRDefault="00000000" w:rsidRPr="00000000" w14:paraId="000001F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Maintain an IP/licence register for datasets, software and distributed project code; preserve attribution and notices.</w:t>
            </w:r>
          </w:p>
        </w:tc>
      </w:tr>
      <w:tr>
        <w:trPr>
          <w:cantSplit w:val="1"/>
          <w:tblHeader w:val="0"/>
        </w:trPr>
        <w:tc>
          <w:tcPr>
            <w:vAlign w:val="center"/>
          </w:tcPr>
          <w:p w:rsidR="00000000" w:rsidDel="00000000" w:rsidP="00000000" w:rsidRDefault="00000000" w:rsidRPr="00000000" w14:paraId="000001F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R8</w:t>
            </w:r>
          </w:p>
        </w:tc>
        <w:tc>
          <w:tcPr>
            <w:vAlign w:val="center"/>
          </w:tcPr>
          <w:p w:rsidR="00000000" w:rsidDel="00000000" w:rsidP="00000000" w:rsidRDefault="00000000" w:rsidRPr="00000000" w14:paraId="000001F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Establish incident and privacy-breach procedures that connect technical containment with legal notification assessment.</w:t>
            </w:r>
          </w:p>
        </w:tc>
      </w:tr>
      <w:tr>
        <w:trPr>
          <w:cantSplit w:val="1"/>
          <w:tblHeader w:val="0"/>
        </w:trPr>
        <w:tc>
          <w:tcPr>
            <w:vAlign w:val="center"/>
          </w:tcPr>
          <w:p w:rsidR="00000000" w:rsidDel="00000000" w:rsidP="00000000" w:rsidRDefault="00000000" w:rsidRPr="00000000" w14:paraId="000001F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R9</w:t>
            </w:r>
          </w:p>
        </w:tc>
        <w:tc>
          <w:tcPr>
            <w:vAlign w:val="center"/>
          </w:tcPr>
          <w:p w:rsidR="00000000" w:rsidDel="00000000" w:rsidP="00000000" w:rsidRDefault="00000000" w:rsidRPr="00000000" w14:paraId="000001F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monitoring purpose periodically to prevent function creep into general employee surveillance.</w:t>
            </w:r>
          </w:p>
        </w:tc>
      </w:tr>
      <w:tr>
        <w:trPr>
          <w:cantSplit w:val="1"/>
          <w:tblHeader w:val="0"/>
        </w:trPr>
        <w:tc>
          <w:tcPr>
            <w:vAlign w:val="center"/>
          </w:tcPr>
          <w:p w:rsidR="00000000" w:rsidDel="00000000" w:rsidP="00000000" w:rsidRDefault="00000000" w:rsidRPr="00000000" w14:paraId="000001F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R10</w:t>
            </w:r>
          </w:p>
        </w:tc>
        <w:tc>
          <w:tcPr>
            <w:vAlign w:val="center"/>
          </w:tcPr>
          <w:p w:rsidR="00000000" w:rsidDel="00000000" w:rsidP="00000000" w:rsidRDefault="00000000" w:rsidRPr="00000000" w14:paraId="0000020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Repeat this ethical/legal assessment whenever the data collected, deployment environment, decision authority or automation level changes materially.</w:t>
            </w:r>
          </w:p>
        </w:tc>
      </w:tr>
    </w:tbl>
    <w:p w:rsidR="00000000" w:rsidDel="00000000" w:rsidP="00000000" w:rsidRDefault="00000000" w:rsidRPr="00000000" w14:paraId="0000020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Conclusion</w:t>
      </w:r>
    </w:p>
    <w:p w:rsidR="00000000" w:rsidDel="00000000" w:rsidP="00000000" w:rsidRDefault="00000000" w:rsidRPr="00000000" w14:paraId="00000203">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ethical strength of this project comes from several design decisions that are visible in the technical evidence: controlled attack generation, use of network metadata rather than real financial-record content, explicit false-positive analysis, preservation of negative cross-domain findings, explainability support, reproducible artefacts and human review instead of automatic blocking. These choices do not make the prototype legally compliant by themselves, but they establish a defensible foundation for responsible experimentation.</w:t>
      </w:r>
      <w:r w:rsidDel="00000000" w:rsidR="00000000" w:rsidRPr="00000000">
        <w:rPr>
          <w:rtl w:val="0"/>
        </w:rPr>
      </w:r>
    </w:p>
    <w:p w:rsidR="00000000" w:rsidDel="00000000" w:rsidP="00000000" w:rsidRDefault="00000000" w:rsidRPr="00000000" w14:paraId="00000204">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future financial-services deployment would create additional obligations because real network logs can become personal or commercially sensitive information and model alerts can influence people and business operations. Applicability must be determined from the actual organisation’s turnover, activities, licences, regulatory status, workforce arrangements and service providers. Where privacy or financial-services duties apply, monitoring must be supported by appropriate security, governance, incident response and accountability controls.</w:t>
      </w:r>
      <w:r w:rsidDel="00000000" w:rsidR="00000000" w:rsidRPr="00000000">
        <w:rPr>
          <w:rtl w:val="0"/>
        </w:rPr>
      </w:r>
    </w:p>
    <w:p w:rsidR="00000000" w:rsidDel="00000000" w:rsidP="00000000" w:rsidRDefault="00000000" w:rsidRPr="00000000" w14:paraId="00000205">
      <w:pPr>
        <w:spacing w:after="80" w:before="0" w:line="246.99999999999994"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central professional principle is that an anomaly score is evidence for investigation, not proof of wrongdoing. The system should remain transparent about uncertainty, reviewable by a responsible human and governed throughout its lifecycle. This aligns the project’s technical objective - reducing false-positive-aware anomaly detection risk - with the broader obligations of honesty, trustworthiness, respect, privacy, safety and accountability.</w:t>
      </w:r>
      <w:r w:rsidDel="00000000" w:rsidR="00000000" w:rsidRPr="00000000">
        <w:rPr>
          <w:rtl w:val="0"/>
        </w:rPr>
      </w:r>
    </w:p>
    <w:p w:rsidR="00000000" w:rsidDel="00000000" w:rsidP="00000000" w:rsidRDefault="00000000" w:rsidRPr="00000000" w14:paraId="00000206">
      <w:pPr>
        <w:pStyle w:val="Heading1"/>
        <w:keepNext w:val="1"/>
        <w:spacing w:after="60" w:before="1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References</w:t>
      </w:r>
    </w:p>
    <w:p w:rsidR="00000000" w:rsidDel="00000000" w:rsidP="00000000" w:rsidRDefault="00000000" w:rsidRPr="00000000" w14:paraId="00000207">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Australian Computer Society (ACS) (2023) 'ACS Code of Professional Ethics 2023'. Available via ACS Rules &amp; Regulations, https://www.acs.org.au/governance/rules-and-regulations.html (accessed 8 October 2026).</w:t>
      </w:r>
      <w:r w:rsidDel="00000000" w:rsidR="00000000" w:rsidRPr="00000000">
        <w:rPr>
          <w:rtl w:val="0"/>
        </w:rPr>
      </w:r>
    </w:p>
    <w:p w:rsidR="00000000" w:rsidDel="00000000" w:rsidP="00000000" w:rsidRDefault="00000000" w:rsidRPr="00000000" w14:paraId="00000208">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Australian Computer Society (ACS) (n.d.) 'Professional ethics, conduct and complaints'. https://www.acs.org.au/memberships/professional-ethics-conduct-and-complaints.html (accessed 8 October 2026).</w:t>
      </w:r>
      <w:r w:rsidDel="00000000" w:rsidR="00000000" w:rsidRPr="00000000">
        <w:rPr>
          <w:rtl w:val="0"/>
        </w:rPr>
      </w:r>
    </w:p>
    <w:p w:rsidR="00000000" w:rsidDel="00000000" w:rsidP="00000000" w:rsidRDefault="00000000" w:rsidRPr="00000000" w14:paraId="00000209">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Australian Securities and Investments Commission (ASIC) (n.d.-a) 'AFS licensee obligations'. https://www.asic.gov.au/for-finance-professionals/afs-licensees/afs-licensee-obligations (accessed 8 October 2026).</w:t>
      </w:r>
      <w:r w:rsidDel="00000000" w:rsidR="00000000" w:rsidRPr="00000000">
        <w:rPr>
          <w:rtl w:val="0"/>
        </w:rPr>
      </w:r>
    </w:p>
    <w:p w:rsidR="00000000" w:rsidDel="00000000" w:rsidP="00000000" w:rsidRDefault="00000000" w:rsidRPr="00000000" w14:paraId="0000020A">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Australian Securities and Investments Commission (ASIC) (n.d.-b) 'ASIC cyber resilience resources'. https://www.asic.gov.au/regulatory-resources/cyber-resilience/asic-cyber-resilience-resources (accessed 8 October 2026).</w:t>
      </w:r>
      <w:r w:rsidDel="00000000" w:rsidR="00000000" w:rsidRPr="00000000">
        <w:rPr>
          <w:rtl w:val="0"/>
        </w:rPr>
      </w:r>
    </w:p>
    <w:p w:rsidR="00000000" w:rsidDel="00000000" w:rsidP="00000000" w:rsidRDefault="00000000" w:rsidRPr="00000000" w14:paraId="0000020B">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Australian Government, Department of Industry, Science and Resources (n.d.) 'Australia's AI Ethics Principles'. https://www.industry.gov.au/publications/australias-ai-ethics-principles (accessed 8 October 2026).</w:t>
      </w:r>
      <w:r w:rsidDel="00000000" w:rsidR="00000000" w:rsidRPr="00000000">
        <w:rPr>
          <w:rtl w:val="0"/>
        </w:rPr>
      </w:r>
    </w:p>
    <w:p w:rsidR="00000000" w:rsidDel="00000000" w:rsidP="00000000" w:rsidRDefault="00000000" w:rsidRPr="00000000" w14:paraId="0000020C">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Australian Government (2026) Privacy Act 1988, compilation current 4 June 2026, including Schedule 1 - Australian Privacy Principles. Federal Register of Legislation. https://www.legislation.gov.au/C2004A03712 (accessed 8 October 2026).</w:t>
      </w:r>
      <w:r w:rsidDel="00000000" w:rsidR="00000000" w:rsidRPr="00000000">
        <w:rPr>
          <w:rtl w:val="0"/>
        </w:rPr>
      </w:r>
    </w:p>
    <w:p w:rsidR="00000000" w:rsidDel="00000000" w:rsidP="00000000" w:rsidRDefault="00000000" w:rsidRPr="00000000" w14:paraId="0000020D">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Creative Commons (n.d.) 'Frequently Asked Questions: Can I apply a Creative Commons license to software?'. https://creativecommons.org/faq/ (accessed 8 October 2026).</w:t>
      </w:r>
      <w:r w:rsidDel="00000000" w:rsidR="00000000" w:rsidRPr="00000000">
        <w:rPr>
          <w:rtl w:val="0"/>
        </w:rPr>
      </w:r>
    </w:p>
    <w:p w:rsidR="00000000" w:rsidDel="00000000" w:rsidP="00000000" w:rsidRDefault="00000000" w:rsidRPr="00000000" w14:paraId="0000020E">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Office of the Australian Information Commissioner (OAIC) (n.d.-a) 'Small business'. https://www.oaic.gov.au/privacy/privacy-guidance-for-organisations-and-government-agencies/organisations/small-business (accessed 8 October 2026).</w:t>
      </w:r>
      <w:r w:rsidDel="00000000" w:rsidR="00000000" w:rsidRPr="00000000">
        <w:rPr>
          <w:rtl w:val="0"/>
        </w:rPr>
      </w:r>
    </w:p>
    <w:p w:rsidR="00000000" w:rsidDel="00000000" w:rsidP="00000000" w:rsidRDefault="00000000" w:rsidRPr="00000000" w14:paraId="0000020F">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Office of the Australian Information Commissioner (OAIC) (2025a) 'Chapter 11: APP 11 - Security of personal information', updated 3 October 2025. https://www.oaic.gov.au/privacy/australian-privacy-principles/australian-privacy-principles-guidelines/chapter-11-app-11-security-of-personal-information (accessed 8 October 2026).</w:t>
      </w:r>
      <w:r w:rsidDel="00000000" w:rsidR="00000000" w:rsidRPr="00000000">
        <w:rPr>
          <w:rtl w:val="0"/>
        </w:rPr>
      </w:r>
    </w:p>
    <w:p w:rsidR="00000000" w:rsidDel="00000000" w:rsidP="00000000" w:rsidRDefault="00000000" w:rsidRPr="00000000" w14:paraId="00000210">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Office of the Australian Information Commissioner (OAIC) (2025b) 'Part 4: Notifiable Data Breach (NDB) Scheme', updated February 2025. https://www.oaic.gov.au/privacy/notifiable-data-breaches/preventing-preparing-for-and-responding-to-data-breaches/data-breach-preparation-and-response/part-4-notifiable-data-breach-ndb-scheme (accessed 8 October 2026).</w:t>
      </w:r>
      <w:r w:rsidDel="00000000" w:rsidR="00000000" w:rsidRPr="00000000">
        <w:rPr>
          <w:rtl w:val="0"/>
        </w:rPr>
      </w:r>
    </w:p>
    <w:p w:rsidR="00000000" w:rsidDel="00000000" w:rsidP="00000000" w:rsidRDefault="00000000" w:rsidRPr="00000000" w14:paraId="00000211">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Office of the Australian Information Commissioner (OAIC) (2026a) 'Guide to privacy for reporting entities under the AML/CTF Act', February 2026. https://www.oaic.gov.au/ (accessed 8 October 2026).</w:t>
      </w:r>
      <w:r w:rsidDel="00000000" w:rsidR="00000000" w:rsidRPr="00000000">
        <w:rPr>
          <w:rtl w:val="0"/>
        </w:rPr>
      </w:r>
    </w:p>
    <w:p w:rsidR="00000000" w:rsidDel="00000000" w:rsidP="00000000" w:rsidRDefault="00000000" w:rsidRPr="00000000" w14:paraId="00000212">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Office of the Australian Information Commissioner (OAIC) (2026b) 'Quick reference guide for responding to data breaches', published 29 June 2026. https://www.oaic.gov.au/privacy/notifiable-data-breaches/quick-reference-guide-for-responding-to-data-breaches (accessed 8 October 2026).</w:t>
      </w:r>
      <w:r w:rsidDel="00000000" w:rsidR="00000000" w:rsidRPr="00000000">
        <w:rPr>
          <w:rtl w:val="0"/>
        </w:rPr>
      </w:r>
    </w:p>
    <w:p w:rsidR="00000000" w:rsidDel="00000000" w:rsidP="00000000" w:rsidRDefault="00000000" w:rsidRPr="00000000" w14:paraId="00000213">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Lundberg, S.M. &amp; Lee, S.-I. (2017) 'A unified approach to interpreting model predictions', Advances in Neural Information Processing Systems, 30.</w:t>
      </w:r>
      <w:r w:rsidDel="00000000" w:rsidR="00000000" w:rsidRPr="00000000">
        <w:rPr>
          <w:rtl w:val="0"/>
        </w:rPr>
      </w:r>
    </w:p>
    <w:p w:rsidR="00000000" w:rsidDel="00000000" w:rsidP="00000000" w:rsidRDefault="00000000" w:rsidRPr="00000000" w14:paraId="00000214">
      <w:pPr>
        <w:spacing w:after="40" w:before="0" w:line="246.99999999999994" w:lineRule="auto"/>
        <w:ind w:left="216" w:hanging="216"/>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Sommer, R. &amp; Paxson, V. (2010) 'Outside the closed world: on using machine learning for network intrusion detection', 2010 IEEE Symposium on Security and Privacy, pp. 305-316.</w:t>
      </w:r>
      <w:r w:rsidDel="00000000" w:rsidR="00000000" w:rsidRPr="00000000">
        <w:rPr>
          <w:rtl w:val="0"/>
        </w:rPr>
      </w:r>
    </w:p>
    <w:p w:rsidR="00000000" w:rsidDel="00000000" w:rsidP="00000000" w:rsidRDefault="00000000" w:rsidRPr="00000000" w14:paraId="00000215">
      <w:pPr>
        <w:spacing w:after="0" w:lineRule="auto"/>
        <w:rPr>
          <w:rFonts w:ascii="Times New Roman" w:cs="Times New Roman" w:eastAsia="Times New Roman" w:hAnsi="Times New Roman"/>
        </w:rPr>
      </w:pPr>
      <w:r w:rsidDel="00000000" w:rsidR="00000000" w:rsidRPr="00000000">
        <w:rPr>
          <w:rtl w:val="0"/>
        </w:rPr>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ptos" w:cs="Aptos" w:eastAsia="Aptos" w:hAnsi="Aptos"/>
      <w:b w:val="1"/>
      <w:bCs w:val="1"/>
      <w:color w:val="1f4e79"/>
      <w:sz w:val="28"/>
      <w:szCs w:val="28"/>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4e79"/>
      <w:sz w:val="23"/>
      <w:szCs w:val="23"/>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