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Grille enseignant — Mathématiques CE2 P1</w:t>
      </w:r>
    </w:p>
    <w:p>
      <w:pPr>
        <w:jc w:val="center"/>
      </w:pPr>
      <w:r>
        <w:rPr>
          <w:i/>
          <w:sz w:val="18"/>
        </w:rPr>
        <w:t>Version verrouillée • 16 compétences canoniques • Sans note ni point</w:t>
      </w:r>
    </w:p>
    <w:p>
      <w:pPr>
        <w:spacing w:after="80"/>
      </w:pPr>
      <w:r>
        <w:t>Règle : 1 ligne = 1 compétence = 1 code du référentiel Progressions CE2. Positionnement à partir de la trace écrite et des autres observations disponibles.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3"/>
        <w:gridCol w:w="2243"/>
        <w:gridCol w:w="2243"/>
        <w:gridCol w:w="2243"/>
        <w:gridCol w:w="2243"/>
        <w:gridCol w:w="2243"/>
        <w:gridCol w:w="2243"/>
      </w:tblGrid>
      <w:tr>
        <w:tc>
          <w:tcPr>
            <w:tcW w:type="dxa" w:w="1587"/>
            <w:shd w:fill="EDE9FE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Code exact</w:t>
            </w:r>
          </w:p>
        </w:tc>
        <w:tc>
          <w:tcPr>
            <w:tcW w:type="dxa" w:w="2948"/>
            <w:shd w:fill="EDE9FE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Compétence</w:t>
            </w:r>
          </w:p>
        </w:tc>
        <w:tc>
          <w:tcPr>
            <w:tcW w:type="dxa" w:w="5102"/>
            <w:shd w:fill="EDE9FE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Indices observables</w:t>
            </w:r>
          </w:p>
        </w:tc>
        <w:tc>
          <w:tcPr>
            <w:tcW w:type="dxa" w:w="1247"/>
            <w:shd w:fill="EDE9FE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Non évalué</w:t>
            </w:r>
          </w:p>
        </w:tc>
        <w:tc>
          <w:tcPr>
            <w:tcW w:type="dxa" w:w="1247"/>
            <w:shd w:fill="EDE9FE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À renforcer</w:t>
            </w:r>
          </w:p>
        </w:tc>
        <w:tc>
          <w:tcPr>
            <w:tcW w:type="dxa" w:w="1247"/>
            <w:shd w:fill="EDE9FE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En cours</w:t>
            </w:r>
          </w:p>
        </w:tc>
        <w:tc>
          <w:tcPr>
            <w:tcW w:type="dxa" w:w="1247"/>
            <w:shd w:fill="EDE9FE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Acquis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NUM-P1-01</w:t>
            </w:r>
          </w:p>
        </w:tc>
        <w:tc>
          <w:tcPr>
            <w:tcW w:type="dxa" w:w="29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Lire des nombres jusqu’à 10 000</w:t>
            </w:r>
          </w:p>
        </w:tc>
        <w:tc>
          <w:tcPr>
            <w:tcW w:type="dxa" w:w="51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Lit correctement des nombres jusqu’à 10 000, y compris avec des zéros intercalés.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NUM-P1-02</w:t>
            </w:r>
          </w:p>
        </w:tc>
        <w:tc>
          <w:tcPr>
            <w:tcW w:type="dxa" w:w="29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Écrire des nombres jusqu’à 10 000</w:t>
            </w:r>
          </w:p>
        </w:tc>
        <w:tc>
          <w:tcPr>
            <w:tcW w:type="dxa" w:w="51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Écrit en chiffres des nombres dictés jusqu’à 10 000 et place les zéros nécessaires.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NUM-P1-03</w:t>
            </w:r>
          </w:p>
        </w:tc>
        <w:tc>
          <w:tcPr>
            <w:tcW w:type="dxa" w:w="29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Décomposer un nombre</w:t>
            </w:r>
          </w:p>
        </w:tc>
        <w:tc>
          <w:tcPr>
            <w:tcW w:type="dxa" w:w="51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Décompose selon la valeur de position et peut recomposer le nombre.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NUM-P1-04</w:t>
            </w:r>
          </w:p>
        </w:tc>
        <w:tc>
          <w:tcPr>
            <w:tcW w:type="dxa" w:w="29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Comparer deux nombres</w:t>
            </w:r>
          </w:p>
        </w:tc>
        <w:tc>
          <w:tcPr>
            <w:tcW w:type="dxa" w:w="51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Compare deux nombres et utilise correctement &lt;, &gt; ou =.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NUM-P1-05</w:t>
            </w:r>
          </w:p>
        </w:tc>
        <w:tc>
          <w:tcPr>
            <w:tcW w:type="dxa" w:w="29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Encadrer un nombre</w:t>
            </w:r>
          </w:p>
        </w:tc>
        <w:tc>
          <w:tcPr>
            <w:tcW w:type="dxa" w:w="51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Trouve les bornes demandées entre dizaines ou centaines consécutives.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FRA-P1-01</w:t>
            </w:r>
          </w:p>
        </w:tc>
        <w:tc>
          <w:tcPr>
            <w:tcW w:type="dxa" w:w="29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Représenter une fraction simple</w:t>
            </w:r>
          </w:p>
        </w:tc>
        <w:tc>
          <w:tcPr>
            <w:tcW w:type="dxa" w:w="51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Représente une fraction d’un tout partagé en parts égales.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FRA-P1-02</w:t>
            </w:r>
          </w:p>
        </w:tc>
        <w:tc>
          <w:tcPr>
            <w:tcW w:type="dxa" w:w="29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Nommer une fraction simple</w:t>
            </w:r>
          </w:p>
        </w:tc>
        <w:tc>
          <w:tcPr>
            <w:tcW w:type="dxa" w:w="51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Lit et écrit correctement des fractions simples usuelles.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CAL-P1-01</w:t>
            </w:r>
          </w:p>
        </w:tc>
        <w:tc>
          <w:tcPr>
            <w:tcW w:type="dxa" w:w="29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Restituer les tables d’addition</w:t>
            </w:r>
          </w:p>
        </w:tc>
        <w:tc>
          <w:tcPr>
            <w:tcW w:type="dxa" w:w="51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Restitue avec suffisamment de sûreté les faits additifs travaillés.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CAL-P1-02</w:t>
            </w:r>
          </w:p>
        </w:tc>
        <w:tc>
          <w:tcPr>
            <w:tcW w:type="dxa" w:w="29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Trouver un complément à 10 ou 100</w:t>
            </w:r>
          </w:p>
        </w:tc>
        <w:tc>
          <w:tcPr>
            <w:tcW w:type="dxa" w:w="51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Trouve rapidement les compléments demandés à 10 ou 100.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CAL-P1-03</w:t>
            </w:r>
          </w:p>
        </w:tc>
        <w:tc>
          <w:tcPr>
            <w:tcW w:type="dxa" w:w="29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Ajouter ou retrancher 9, 19 ou 29</w:t>
            </w:r>
          </w:p>
        </w:tc>
        <w:tc>
          <w:tcPr>
            <w:tcW w:type="dxa" w:w="51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Mobilise une stratégie efficace autour d’un nombre rond.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OPE-P1-01</w:t>
            </w:r>
          </w:p>
        </w:tc>
        <w:tc>
          <w:tcPr>
            <w:tcW w:type="dxa" w:w="29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Poser une addition</w:t>
            </w:r>
          </w:p>
        </w:tc>
        <w:tc>
          <w:tcPr>
            <w:tcW w:type="dxa" w:w="51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Aligne les chiffres de même valeur, gère les retenues et calcule correctement.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PRO-P1-02</w:t>
            </w:r>
          </w:p>
        </w:tc>
        <w:tc>
          <w:tcPr>
            <w:tcW w:type="dxa" w:w="29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Résoudre un problème additif en une étape</w:t>
            </w:r>
          </w:p>
        </w:tc>
        <w:tc>
          <w:tcPr>
            <w:tcW w:type="dxa" w:w="51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Choisit l’opération adaptée, effectue le calcul et formule une réponse.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GEO-P1-01</w:t>
            </w:r>
          </w:p>
        </w:tc>
        <w:tc>
          <w:tcPr>
            <w:tcW w:type="dxa" w:w="29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Reconnaître un point, une droite et un segment</w:t>
            </w:r>
          </w:p>
        </w:tc>
        <w:tc>
          <w:tcPr>
            <w:tcW w:type="dxa" w:w="51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Distingue et nomme correctement point, droite et segment.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GEO-P1-02</w:t>
            </w:r>
          </w:p>
        </w:tc>
        <w:tc>
          <w:tcPr>
            <w:tcW w:type="dxa" w:w="29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Vérifier un alignement</w:t>
            </w:r>
          </w:p>
        </w:tc>
        <w:tc>
          <w:tcPr>
            <w:tcW w:type="dxa" w:w="51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Utilise la règle pour vérifier un alignement et formule une conclusion.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MES-P1-01</w:t>
            </w:r>
          </w:p>
        </w:tc>
        <w:tc>
          <w:tcPr>
            <w:tcW w:type="dxa" w:w="29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Mesurer une longueur en cm et mm</w:t>
            </w:r>
          </w:p>
        </w:tc>
        <w:tc>
          <w:tcPr>
            <w:tcW w:type="dxa" w:w="51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Place correctement le zéro, lit la graduation et indique l’unité.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15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MES-P1-02</w:t>
            </w:r>
          </w:p>
        </w:tc>
        <w:tc>
          <w:tcPr>
            <w:tcW w:type="dxa" w:w="29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Tracer un segment de longueur donnée</w:t>
            </w:r>
          </w:p>
        </w:tc>
        <w:tc>
          <w:tcPr>
            <w:tcW w:type="dxa" w:w="51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Trace un segment à la longueur demandée avec précision.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type="dxa" w:w="124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</w:tbl>
    <w:p>
      <w:pPr>
        <w:spacing w:before="100"/>
      </w:pPr>
      <w:r>
        <w:rPr>
          <w:b/>
        </w:rPr>
        <w:t xml:space="preserve">Observations de classe : </w:t>
      </w:r>
      <w:r>
        <w:t>____________________________________________________________________________________________</w:t>
      </w:r>
    </w:p>
    <w:p>
      <w:r>
        <w:t>____________________________________________________________________________________________________________________________</w:t>
      </w:r>
    </w:p>
    <w:p>
      <w:r>
        <w:rPr>
          <w:b/>
        </w:rPr>
        <w:t xml:space="preserve">Compétences à reprendre : </w:t>
      </w:r>
      <w:r>
        <w:t>____________________________________________________________________________________________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