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GRILLE ENSEIGNANT — FRANÇAIS P1</w:t>
      </w:r>
    </w:p>
    <w:p>
      <w:pPr>
        <w:jc w:val="center"/>
      </w:pPr>
      <w:r>
        <w:rPr>
          <w:b/>
        </w:rPr>
        <w:t>Maîtrise de la langue avec le DRAS — corpus commun « Un matin dans la forêt »</w:t>
      </w:r>
    </w:p>
    <w:p>
      <w:r>
        <w:t>Principe verrouillé : 1 ligne = 1 compétence = 1 code canonique. Le corpus est commun ; les manipulations DRAS servent à observer la grammaire et l’écriture. La conjugaison systématique des verbes en -er au présent n’est pas évaluée en P1 (elle relève de P2). Aucune note, aucun total, aucun pourcentage.</w:t>
      </w:r>
    </w:p>
    <w:tbl>
      <w:tblPr>
        <w:tblW w:type="auto" w:w="0"/>
        <w:jc w:val="center"/>
        <w:tblLook w:firstColumn="1" w:firstRow="1" w:lastColumn="0" w:lastRow="0" w:noHBand="0" w:noVBand="1" w:val="04A0"/>
        <w:tblBorders>
          <w:top w:val="single" w:sz="5" w:color="CAD7EA"/>
          <w:left w:val="single" w:sz="5" w:color="CAD7EA"/>
          <w:bottom w:val="single" w:sz="5" w:color="CAD7EA"/>
          <w:right w:val="single" w:sz="5" w:color="CAD7EA"/>
          <w:insideH w:val="single" w:sz="5" w:color="CAD7EA"/>
          <w:insideV w:val="single" w:sz="5" w:color="CAD7EA"/>
        </w:tblBorders>
      </w:tblPr>
      <w:tblGrid>
        <w:gridCol w:w="2691"/>
        <w:gridCol w:w="2691"/>
        <w:gridCol w:w="2691"/>
        <w:gridCol w:w="2691"/>
      </w:tblGrid>
      <w:tr>
        <w:tc>
          <w:tcPr>
            <w:tcW w:type="dxa" w:w="2691"/>
            <w:shd w:fill="F2E8FF"/>
          </w:tcPr>
          <w:p>
            <w:pPr>
              <w:jc w:val="center"/>
            </w:pPr>
            <w:r>
              <w:rPr>
                <w:b/>
              </w:rPr>
              <w:t>Excellent</w:t>
            </w:r>
          </w:p>
        </w:tc>
        <w:tc>
          <w:tcPr>
            <w:tcW w:type="dxa" w:w="2691"/>
            <w:shd w:fill="E8F5E9"/>
          </w:tcPr>
          <w:p>
            <w:pPr>
              <w:jc w:val="center"/>
            </w:pPr>
            <w:r>
              <w:rPr>
                <w:b/>
              </w:rPr>
              <w:t>Réussi</w:t>
            </w:r>
          </w:p>
        </w:tc>
        <w:tc>
          <w:tcPr>
            <w:tcW w:type="dxa" w:w="2691"/>
            <w:shd w:fill="FFF4CC"/>
          </w:tcPr>
          <w:p>
            <w:pPr>
              <w:jc w:val="center"/>
            </w:pPr>
            <w:r>
              <w:rPr>
                <w:b/>
              </w:rPr>
              <w:t>En progrès</w:t>
            </w:r>
          </w:p>
        </w:tc>
        <w:tc>
          <w:tcPr>
            <w:tcW w:type="dxa" w:w="2691"/>
            <w:shd w:fill="FDECEC"/>
          </w:tcPr>
          <w:p>
            <w:pPr>
              <w:jc w:val="center"/>
            </w:pPr>
            <w:r>
              <w:rPr>
                <w:b/>
              </w:rPr>
              <w:t>À revoir</w:t>
            </w:r>
          </w:p>
        </w:tc>
      </w:tr>
    </w:tbl>
    <w:tbl>
      <w:tblPr>
        <w:tblStyle w:val="TableGrid"/>
        <w:tblW w:type="auto" w:w="0"/>
        <w:jc w:val="center"/>
        <w:tblLayout w:type="fixed"/>
        <w:tblLook w:firstColumn="1" w:firstRow="1" w:lastColumn="0" w:lastRow="0" w:noHBand="0" w:noVBand="1" w:val="04A0"/>
        <w:tblBorders>
          <w:top w:val="single" w:sz="4" w:color="9AAFCB"/>
          <w:left w:val="single" w:sz="4" w:color="9AAFCB"/>
          <w:bottom w:val="single" w:sz="4" w:color="9AAFCB"/>
          <w:right w:val="single" w:sz="4" w:color="9AAFCB"/>
          <w:insideH w:val="single" w:sz="4" w:color="9AAFCB"/>
          <w:insideV w:val="single" w:sz="4" w:color="9AAFCB"/>
        </w:tblBorders>
      </w:tblPr>
      <w:tblGrid>
        <w:gridCol w:w="1538"/>
        <w:gridCol w:w="1538"/>
        <w:gridCol w:w="1538"/>
        <w:gridCol w:w="1538"/>
        <w:gridCol w:w="1538"/>
        <w:gridCol w:w="1538"/>
        <w:gridCol w:w="1538"/>
      </w:tblGrid>
      <w:tr>
        <w:tc>
          <w:tcPr>
            <w:tcW w:type="dxa" w:w="1538"/>
            <w:shd w:fill="DDE8F6"/>
          </w:tcPr>
          <w:p>
            <w:pPr>
              <w:jc w:val="center"/>
            </w:pPr>
            <w:r>
              <w:rPr>
                <w:b/>
              </w:rPr>
              <w:t>Code</w:t>
            </w:r>
          </w:p>
        </w:tc>
        <w:tc>
          <w:tcPr>
            <w:tcW w:type="dxa" w:w="1538"/>
            <w:shd w:fill="DDE8F6"/>
          </w:tcPr>
          <w:p>
            <w:pPr>
              <w:jc w:val="center"/>
            </w:pPr>
            <w:r>
              <w:rPr>
                <w:b/>
              </w:rPr>
              <w:t>Compétence</w:t>
            </w:r>
          </w:p>
        </w:tc>
        <w:tc>
          <w:tcPr>
            <w:tcW w:type="dxa" w:w="1538"/>
            <w:shd w:fill="DDE8F6"/>
          </w:tcPr>
          <w:p>
            <w:pPr>
              <w:jc w:val="center"/>
            </w:pPr>
            <w:r>
              <w:rPr>
                <w:b/>
              </w:rPr>
              <w:t>Tâche / indice</w:t>
            </w:r>
          </w:p>
        </w:tc>
        <w:tc>
          <w:tcPr>
            <w:tcW w:type="dxa" w:w="1538"/>
            <w:shd w:fill="DDE8F6"/>
          </w:tcPr>
          <w:p>
            <w:pPr>
              <w:jc w:val="center"/>
            </w:pPr>
            <w:r>
              <w:rPr>
                <w:b/>
              </w:rPr>
              <w:t>Excellent</w:t>
            </w:r>
          </w:p>
        </w:tc>
        <w:tc>
          <w:tcPr>
            <w:tcW w:type="dxa" w:w="1538"/>
            <w:shd w:fill="DDE8F6"/>
          </w:tcPr>
          <w:p>
            <w:pPr>
              <w:jc w:val="center"/>
            </w:pPr>
            <w:r>
              <w:rPr>
                <w:b/>
              </w:rPr>
              <w:t>Réussi</w:t>
            </w:r>
          </w:p>
        </w:tc>
        <w:tc>
          <w:tcPr>
            <w:tcW w:type="dxa" w:w="1538"/>
            <w:shd w:fill="DDE8F6"/>
          </w:tcPr>
          <w:p>
            <w:pPr>
              <w:jc w:val="center"/>
            </w:pPr>
            <w:r>
              <w:rPr>
                <w:b/>
              </w:rPr>
              <w:t>En progrès</w:t>
            </w:r>
          </w:p>
        </w:tc>
        <w:tc>
          <w:tcPr>
            <w:tcW w:type="dxa" w:w="1538"/>
            <w:shd w:fill="DDE8F6"/>
          </w:tcPr>
          <w:p>
            <w:pPr>
              <w:jc w:val="center"/>
            </w:pPr>
            <w:r>
              <w:rPr>
                <w:b/>
              </w:rPr>
              <w:t>À revoir</w:t>
            </w:r>
          </w:p>
        </w:tc>
      </w:tr>
      <w:tr>
        <w:trPr>
          <w:cantSplit/>
        </w:trPr>
        <w:tc>
          <w:tcPr>
            <w:tcW w:type="dxa" w:w="1538"/>
            <w:tcMar>
              <w:top w:w="40" w:type="dxa"/>
              <w:start w:w="50" w:type="dxa"/>
              <w:bottom w:w="40" w:type="dxa"/>
              <w:end w:w="50" w:type="dxa"/>
            </w:tcMar>
            <w:vAlign w:val="center"/>
          </w:tcPr>
          <w:p>
            <w:r>
              <w:t>GRA-P1-01</w:t>
            </w:r>
          </w:p>
        </w:tc>
        <w:tc>
          <w:tcPr>
            <w:tcW w:type="dxa" w:w="1538"/>
            <w:tcMar>
              <w:top w:w="40" w:type="dxa"/>
              <w:start w:w="50" w:type="dxa"/>
              <w:bottom w:w="40" w:type="dxa"/>
              <w:end w:w="50" w:type="dxa"/>
            </w:tcMar>
            <w:vAlign w:val="center"/>
          </w:tcPr>
          <w:p>
            <w:r>
              <w:t>Reconnaître une phrase correcte</w:t>
            </w:r>
          </w:p>
        </w:tc>
        <w:tc>
          <w:tcPr>
            <w:tcW w:type="dxa" w:w="1538"/>
            <w:tcMar>
              <w:top w:w="40" w:type="dxa"/>
              <w:start w:w="50" w:type="dxa"/>
              <w:bottom w:w="40" w:type="dxa"/>
              <w:end w:w="50" w:type="dxa"/>
            </w:tcMar>
            <w:vAlign w:val="center"/>
          </w:tcPr>
          <w:p>
            <w:r>
              <w:t>Tâche 1 — réparer une phrase</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GRA-P1-04</w:t>
            </w:r>
          </w:p>
        </w:tc>
        <w:tc>
          <w:tcPr>
            <w:tcW w:type="dxa" w:w="1538"/>
            <w:tcMar>
              <w:top w:w="40" w:type="dxa"/>
              <w:start w:w="50" w:type="dxa"/>
              <w:bottom w:w="40" w:type="dxa"/>
              <w:end w:w="50" w:type="dxa"/>
            </w:tcMar>
            <w:vAlign w:val="center"/>
          </w:tcPr>
          <w:p>
            <w:r>
              <w:t>Repérer le verbe conjugué</w:t>
            </w:r>
          </w:p>
        </w:tc>
        <w:tc>
          <w:tcPr>
            <w:tcW w:type="dxa" w:w="1538"/>
            <w:tcMar>
              <w:top w:w="40" w:type="dxa"/>
              <w:start w:w="50" w:type="dxa"/>
              <w:bottom w:w="40" w:type="dxa"/>
              <w:end w:w="50" w:type="dxa"/>
            </w:tcMar>
            <w:vAlign w:val="center"/>
          </w:tcPr>
          <w:p>
            <w:r>
              <w:t>Tâche 2 — repérage + manipulation</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GRA-P1-05</w:t>
            </w:r>
          </w:p>
        </w:tc>
        <w:tc>
          <w:tcPr>
            <w:tcW w:type="dxa" w:w="1538"/>
            <w:tcMar>
              <w:top w:w="40" w:type="dxa"/>
              <w:start w:w="50" w:type="dxa"/>
              <w:bottom w:w="40" w:type="dxa"/>
              <w:end w:w="50" w:type="dxa"/>
            </w:tcMar>
            <w:vAlign w:val="center"/>
          </w:tcPr>
          <w:p>
            <w:r>
              <w:t>Donner l’infinitif d’un verbe conjugué</w:t>
            </w:r>
          </w:p>
        </w:tc>
        <w:tc>
          <w:tcPr>
            <w:tcW w:type="dxa" w:w="1538"/>
            <w:tcMar>
              <w:top w:w="40" w:type="dxa"/>
              <w:start w:w="50" w:type="dxa"/>
              <w:bottom w:w="40" w:type="dxa"/>
              <w:end w:w="50" w:type="dxa"/>
            </w:tcMar>
            <w:vAlign w:val="center"/>
          </w:tcPr>
          <w:p>
            <w:r>
              <w:t>Tâche 3 — formes du corpus</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GRA-P1-06</w:t>
            </w:r>
          </w:p>
        </w:tc>
        <w:tc>
          <w:tcPr>
            <w:tcW w:type="dxa" w:w="1538"/>
            <w:tcMar>
              <w:top w:w="40" w:type="dxa"/>
              <w:start w:w="50" w:type="dxa"/>
              <w:bottom w:w="40" w:type="dxa"/>
              <w:end w:w="50" w:type="dxa"/>
            </w:tcMar>
            <w:vAlign w:val="center"/>
          </w:tcPr>
          <w:p>
            <w:r>
              <w:t>Repérer le groupe sujet</w:t>
            </w:r>
          </w:p>
        </w:tc>
        <w:tc>
          <w:tcPr>
            <w:tcW w:type="dxa" w:w="1538"/>
            <w:tcMar>
              <w:top w:w="40" w:type="dxa"/>
              <w:start w:w="50" w:type="dxa"/>
              <w:bottom w:w="40" w:type="dxa"/>
              <w:end w:w="50" w:type="dxa"/>
            </w:tcMar>
            <w:vAlign w:val="center"/>
          </w:tcPr>
          <w:p>
            <w:r>
              <w:t>Tâche 4 — groupe sujet entier</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GRA-P1-07</w:t>
            </w:r>
          </w:p>
        </w:tc>
        <w:tc>
          <w:tcPr>
            <w:tcW w:type="dxa" w:w="1538"/>
            <w:tcMar>
              <w:top w:w="40" w:type="dxa"/>
              <w:start w:w="50" w:type="dxa"/>
              <w:bottom w:w="40" w:type="dxa"/>
              <w:end w:w="50" w:type="dxa"/>
            </w:tcMar>
            <w:vAlign w:val="center"/>
          </w:tcPr>
          <w:p>
            <w:r>
              <w:t>Remplacer le groupe sujet par un pronom</w:t>
            </w:r>
          </w:p>
        </w:tc>
        <w:tc>
          <w:tcPr>
            <w:tcW w:type="dxa" w:w="1538"/>
            <w:tcMar>
              <w:top w:w="40" w:type="dxa"/>
              <w:start w:w="50" w:type="dxa"/>
              <w:bottom w:w="40" w:type="dxa"/>
              <w:end w:w="50" w:type="dxa"/>
            </w:tcMar>
            <w:vAlign w:val="center"/>
          </w:tcPr>
          <w:p>
            <w:r>
              <w:t>Tâche 5 — remplacement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ORT-P1-01</w:t>
            </w:r>
          </w:p>
        </w:tc>
        <w:tc>
          <w:tcPr>
            <w:tcW w:type="dxa" w:w="1538"/>
            <w:tcMar>
              <w:top w:w="40" w:type="dxa"/>
              <w:start w:w="50" w:type="dxa"/>
              <w:bottom w:w="40" w:type="dxa"/>
              <w:end w:w="50" w:type="dxa"/>
            </w:tcMar>
            <w:vAlign w:val="center"/>
          </w:tcPr>
          <w:p>
            <w:r>
              <w:t>Transcrire les sons d’un mot</w:t>
            </w:r>
          </w:p>
        </w:tc>
        <w:tc>
          <w:tcPr>
            <w:tcW w:type="dxa" w:w="1538"/>
            <w:tcMar>
              <w:top w:w="40" w:type="dxa"/>
              <w:start w:w="50" w:type="dxa"/>
              <w:bottom w:w="40" w:type="dxa"/>
              <w:end w:w="50" w:type="dxa"/>
            </w:tcMar>
            <w:vAlign w:val="center"/>
          </w:tcPr>
          <w:p>
            <w:r>
              <w:t>Tâche 6 — régularités étudiées</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ORT-P1-02</w:t>
            </w:r>
          </w:p>
        </w:tc>
        <w:tc>
          <w:tcPr>
            <w:tcW w:type="dxa" w:w="1538"/>
            <w:tcMar>
              <w:top w:w="40" w:type="dxa"/>
              <w:start w:w="50" w:type="dxa"/>
              <w:bottom w:w="40" w:type="dxa"/>
              <w:end w:w="50" w:type="dxa"/>
            </w:tcMar>
            <w:vAlign w:val="center"/>
          </w:tcPr>
          <w:p>
            <w:r>
              <w:t>Écrire les mots fréquents étudiés</w:t>
            </w:r>
          </w:p>
        </w:tc>
        <w:tc>
          <w:tcPr>
            <w:tcW w:type="dxa" w:w="1538"/>
            <w:tcMar>
              <w:top w:w="40" w:type="dxa"/>
              <w:start w:w="50" w:type="dxa"/>
              <w:bottom w:w="40" w:type="dxa"/>
              <w:end w:w="50" w:type="dxa"/>
            </w:tcMar>
            <w:vAlign w:val="center"/>
          </w:tcPr>
          <w:p>
            <w:r>
              <w:t>Tâche 7 — mots réellement appris</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ORT-P1-03</w:t>
            </w:r>
          </w:p>
        </w:tc>
        <w:tc>
          <w:tcPr>
            <w:tcW w:type="dxa" w:w="1538"/>
            <w:tcMar>
              <w:top w:w="40" w:type="dxa"/>
              <w:start w:w="50" w:type="dxa"/>
              <w:bottom w:w="40" w:type="dxa"/>
              <w:end w:w="50" w:type="dxa"/>
            </w:tcMar>
            <w:vAlign w:val="center"/>
          </w:tcPr>
          <w:p>
            <w:r>
              <w:t>Écrire les mots invariables étudiés</w:t>
            </w:r>
          </w:p>
        </w:tc>
        <w:tc>
          <w:tcPr>
            <w:tcW w:type="dxa" w:w="1538"/>
            <w:tcMar>
              <w:top w:w="40" w:type="dxa"/>
              <w:start w:w="50" w:type="dxa"/>
              <w:bottom w:w="40" w:type="dxa"/>
              <w:end w:w="50" w:type="dxa"/>
            </w:tcMar>
            <w:vAlign w:val="center"/>
          </w:tcPr>
          <w:p>
            <w:r>
              <w:t>Tâche 8 — dictée + réemploi</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VOC-P1-02</w:t>
            </w:r>
          </w:p>
        </w:tc>
        <w:tc>
          <w:tcPr>
            <w:tcW w:type="dxa" w:w="1538"/>
            <w:tcMar>
              <w:top w:w="40" w:type="dxa"/>
              <w:start w:w="50" w:type="dxa"/>
              <w:bottom w:w="40" w:type="dxa"/>
              <w:end w:w="50" w:type="dxa"/>
            </w:tcMar>
            <w:vAlign w:val="center"/>
          </w:tcPr>
          <w:p>
            <w:r>
              <w:t>Regrouper des mots par thème</w:t>
            </w:r>
          </w:p>
        </w:tc>
        <w:tc>
          <w:tcPr>
            <w:tcW w:type="dxa" w:w="1538"/>
            <w:tcMar>
              <w:top w:w="40" w:type="dxa"/>
              <w:start w:w="50" w:type="dxa"/>
              <w:bottom w:w="40" w:type="dxa"/>
              <w:end w:w="50" w:type="dxa"/>
            </w:tcMar>
            <w:vAlign w:val="center"/>
          </w:tcPr>
          <w:p>
            <w:r>
              <w:t>Tâche 9 — catégorisation</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VOC-P1-04</w:t>
            </w:r>
          </w:p>
        </w:tc>
        <w:tc>
          <w:tcPr>
            <w:tcW w:type="dxa" w:w="1538"/>
            <w:tcMar>
              <w:top w:w="40" w:type="dxa"/>
              <w:start w:w="50" w:type="dxa"/>
              <w:bottom w:w="40" w:type="dxa"/>
              <w:end w:w="50" w:type="dxa"/>
            </w:tcMar>
            <w:vAlign w:val="center"/>
          </w:tcPr>
          <w:p>
            <w:r>
              <w:t>Ranger des mots dans l’ordre alphabétique</w:t>
            </w:r>
          </w:p>
        </w:tc>
        <w:tc>
          <w:tcPr>
            <w:tcW w:type="dxa" w:w="1538"/>
            <w:tcMar>
              <w:top w:w="40" w:type="dxa"/>
              <w:start w:w="50" w:type="dxa"/>
              <w:bottom w:w="40" w:type="dxa"/>
              <w:end w:w="50" w:type="dxa"/>
            </w:tcMar>
            <w:vAlign w:val="center"/>
          </w:tcPr>
          <w:p>
            <w:r>
              <w:t>Tâche 10 — ordre alphabétique</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VOC-P1-05</w:t>
            </w:r>
          </w:p>
        </w:tc>
        <w:tc>
          <w:tcPr>
            <w:tcW w:type="dxa" w:w="1538"/>
            <w:tcMar>
              <w:top w:w="40" w:type="dxa"/>
              <w:start w:w="50" w:type="dxa"/>
              <w:bottom w:w="40" w:type="dxa"/>
              <w:end w:w="50" w:type="dxa"/>
            </w:tcMar>
            <w:vAlign w:val="center"/>
          </w:tcPr>
          <w:p>
            <w:r>
              <w:t>Chercher un mot dans le dictionnaire</w:t>
            </w:r>
          </w:p>
        </w:tc>
        <w:tc>
          <w:tcPr>
            <w:tcW w:type="dxa" w:w="1538"/>
            <w:tcMar>
              <w:top w:w="40" w:type="dxa"/>
              <w:start w:w="50" w:type="dxa"/>
              <w:bottom w:w="40" w:type="dxa"/>
              <w:end w:w="50" w:type="dxa"/>
            </w:tcMar>
            <w:vAlign w:val="center"/>
          </w:tcPr>
          <w:p>
            <w:r>
              <w:t>Tâche 11 — sens en contexte</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ECR-P1-05</w:t>
            </w:r>
          </w:p>
        </w:tc>
        <w:tc>
          <w:tcPr>
            <w:tcW w:type="dxa" w:w="1538"/>
            <w:tcMar>
              <w:top w:w="40" w:type="dxa"/>
              <w:start w:w="50" w:type="dxa"/>
              <w:bottom w:w="40" w:type="dxa"/>
              <w:end w:w="50" w:type="dxa"/>
            </w:tcMar>
            <w:vAlign w:val="center"/>
          </w:tcPr>
          <w:p>
            <w:r>
              <w:t>Écrire une phrase correcte</w:t>
            </w:r>
          </w:p>
        </w:tc>
        <w:tc>
          <w:tcPr>
            <w:tcW w:type="dxa" w:w="1538"/>
            <w:tcMar>
              <w:top w:w="40" w:type="dxa"/>
              <w:start w:w="50" w:type="dxa"/>
              <w:bottom w:w="40" w:type="dxa"/>
              <w:end w:w="50" w:type="dxa"/>
            </w:tcMar>
            <w:vAlign w:val="center"/>
          </w:tcPr>
          <w:p>
            <w:r>
              <w:t>Tâche 12 — ajout au corpus</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r>
        <w:trPr>
          <w:cantSplit/>
        </w:trPr>
        <w:tc>
          <w:tcPr>
            <w:tcW w:type="dxa" w:w="1538"/>
            <w:tcMar>
              <w:top w:w="40" w:type="dxa"/>
              <w:start w:w="50" w:type="dxa"/>
              <w:bottom w:w="40" w:type="dxa"/>
              <w:end w:w="50" w:type="dxa"/>
            </w:tcMar>
            <w:vAlign w:val="center"/>
          </w:tcPr>
          <w:p>
            <w:r>
              <w:t>ECR-P1-06</w:t>
            </w:r>
          </w:p>
        </w:tc>
        <w:tc>
          <w:tcPr>
            <w:tcW w:type="dxa" w:w="1538"/>
            <w:tcMar>
              <w:top w:w="40" w:type="dxa"/>
              <w:start w:w="50" w:type="dxa"/>
              <w:bottom w:w="40" w:type="dxa"/>
              <w:end w:w="50" w:type="dxa"/>
            </w:tcMar>
            <w:vAlign w:val="center"/>
          </w:tcPr>
          <w:p>
            <w:r>
              <w:t>Enchaîner plusieurs phrases sur un même sujet</w:t>
            </w:r>
          </w:p>
        </w:tc>
        <w:tc>
          <w:tcPr>
            <w:tcW w:type="dxa" w:w="1538"/>
            <w:tcMar>
              <w:top w:w="40" w:type="dxa"/>
              <w:start w:w="50" w:type="dxa"/>
              <w:bottom w:w="40" w:type="dxa"/>
              <w:end w:w="50" w:type="dxa"/>
            </w:tcMar>
            <w:vAlign w:val="center"/>
          </w:tcPr>
          <w:p>
            <w:r>
              <w:t>Tâche 13 — suite cohérente + DRAS</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c>
          <w:tcPr>
            <w:tcW w:type="dxa" w:w="1538"/>
            <w:tcMar>
              <w:top w:w="40" w:type="dxa"/>
              <w:start w:w="50" w:type="dxa"/>
              <w:bottom w:w="40" w:type="dxa"/>
              <w:end w:w="50" w:type="dxa"/>
            </w:tcMar>
            <w:vAlign w:val="center"/>
          </w:tcPr>
          <w:p>
            <w:pPr>
              <w:jc w:val="center"/>
            </w:pPr>
            <w:r>
              <w:t>☐</w:t>
            </w:r>
          </w:p>
        </w:tc>
      </w:tr>
    </w:tbl>
    <w:p>
      <w:r>
        <w:br w:type="page"/>
      </w:r>
    </w:p>
    <w:p>
      <w:pPr>
        <w:pStyle w:val="Heading1"/>
      </w:pPr>
      <w:r>
        <w:t>Repères de correction — tâches 1 à 11</w:t>
      </w:r>
    </w:p>
    <w:p>
      <w:r>
        <w:rPr>
          <w:b/>
          <w:color w:val="163A6B"/>
        </w:rPr>
        <w:t xml:space="preserve">GRA-P1-01 — </w:t>
      </w:r>
      <w:r>
        <w:t>Une phrase correcte attendue : « Dans les fourrés, le renardeau observe un hérisson. » Accepter toute formulation correcte conservant le sens.</w:t>
      </w:r>
    </w:p>
    <w:p>
      <w:r>
        <w:rPr>
          <w:b/>
          <w:color w:val="163A6B"/>
        </w:rPr>
        <w:t xml:space="preserve">GRA-P1-04 — </w:t>
      </w:r>
      <w:r>
        <w:t>Verbes des trois premières phrases : sort / observe / regarde. Le test de négation peut servir de justification.</w:t>
      </w:r>
    </w:p>
    <w:p>
      <w:r>
        <w:rPr>
          <w:b/>
          <w:color w:val="163A6B"/>
        </w:rPr>
        <w:t xml:space="preserve">GRA-P1-05 — </w:t>
      </w:r>
      <w:r>
        <w:t>sort → sortir ; observe → observer ; regarde → regarder.</w:t>
      </w:r>
    </w:p>
    <w:p>
      <w:r>
        <w:rPr>
          <w:b/>
          <w:color w:val="163A6B"/>
        </w:rPr>
        <w:t xml:space="preserve">GRA-P1-06 — </w:t>
      </w:r>
      <w:r>
        <w:t>Groupe sujet entier : « Une chouette silencieuse ». Le remplacement « elle » permet la vérification.</w:t>
      </w:r>
    </w:p>
    <w:p>
      <w:r>
        <w:rPr>
          <w:b/>
          <w:color w:val="163A6B"/>
        </w:rPr>
        <w:t xml:space="preserve">GRA-P1-07 — </w:t>
      </w:r>
      <w:r>
        <w:t>Une chouette silencieuse → elle ; le hérisson → il ; les trois animaux → ils.</w:t>
      </w:r>
    </w:p>
    <w:p>
      <w:r>
        <w:rPr>
          <w:b/>
          <w:color w:val="163A6B"/>
        </w:rPr>
        <w:t xml:space="preserve">ORT-P1-01 — </w:t>
      </w:r>
      <w:r>
        <w:t>Réponses attendues selon les régularités proposées : champignon, ombre, buisson, mousse, passage, poisson.</w:t>
      </w:r>
    </w:p>
    <w:p>
      <w:r>
        <w:rPr>
          <w:b/>
          <w:color w:val="163A6B"/>
        </w:rPr>
        <w:t xml:space="preserve">ORT-P1-02 — </w:t>
      </w:r>
      <w:r>
        <w:t>Utiliser exclusivement cinq mots fréquents réellement étudiés en classe avant l’évaluation.</w:t>
      </w:r>
    </w:p>
    <w:p>
      <w:r>
        <w:rPr>
          <w:b/>
          <w:color w:val="163A6B"/>
        </w:rPr>
        <w:t xml:space="preserve">ORT-P1-03 — </w:t>
      </w:r>
      <w:r>
        <w:t>Utiliser exclusivement des mots invariables réellement étudiés. Le réemploi doit garder une phrase correcte.</w:t>
      </w:r>
    </w:p>
    <w:p>
      <w:r>
        <w:rPr>
          <w:b/>
          <w:color w:val="163A6B"/>
        </w:rPr>
        <w:t xml:space="preserve">VOC-P1-02 — </w:t>
      </w:r>
      <w:r>
        <w:t>Animaux : renardeau, chouette ; lieux : tanière, clairière ; actions : observer, avancer ; descriptions : immobile, silencieuse.</w:t>
      </w:r>
    </w:p>
    <w:p>
      <w:r>
        <w:rPr>
          <w:b/>
          <w:color w:val="163A6B"/>
        </w:rPr>
        <w:t xml:space="preserve">VOC-P1-04 — </w:t>
      </w:r>
      <w:r>
        <w:t>branche — clairière — feuilles — fourrés — tanière.</w:t>
      </w:r>
    </w:p>
    <w:p>
      <w:r>
        <w:rPr>
          <w:b/>
          <w:color w:val="163A6B"/>
        </w:rPr>
        <w:t xml:space="preserve">VOC-P1-05 — </w:t>
      </w:r>
      <w:r>
        <w:t>Accepter la définition de « fourré » correspondant à une végétation dense / un endroit couvert de buissons, selon le dictionnaire utilisé.</w:t>
      </w:r>
    </w:p>
    <w:p>
      <w:pPr>
        <w:pStyle w:val="Heading1"/>
      </w:pPr>
      <w:r>
        <w:t>Repères de correction — écriture</w:t>
      </w:r>
    </w:p>
    <w:p>
      <w:r>
        <w:t>ECR-P1-05 — Observer uniquement la correction de la phrase ajoutée : sens, ordre des mots, majuscule et ponctuation finale. Le vocabulaire riche peut être valorisé mais ne change pas le code observé.</w:t>
      </w:r>
    </w:p>
    <w:p>
      <w:r>
        <w:t>ECR-P1-06 — Observer l’enchaînement de 4 ou 5 phrases sur la même scène : continuité du sujet, ordre compréhensible des idées et amélioration effective par au moins une opération DRAS. Ne pas fusionner cette observation avec l’orthographe ou le vocabulaire.</w:t>
      </w:r>
    </w:p>
    <w:p>
      <w:pPr>
        <w:pStyle w:val="Heading1"/>
      </w:pPr>
      <w:r>
        <w:t>Correspondance annuelle de positionnement</w:t>
      </w:r>
    </w:p>
    <w:p>
      <w:r>
        <w:t>Excellent → Dépassé (LSU)   |   Réussi → Atteint   |   En progrès → Partiellement atteint   |   À revoir → Non atteint</w:t>
      </w:r>
    </w:p>
    <w:p>
      <w:r>
        <w:t>Excellent ne correspond pas à une simple « très bonne note » : la compétence doit être maîtrisée avec aisance et de façon suffisamment autonome. Pour le LSU semestriel, la trace P1 sera croisée avec les autres traces de classe et, lorsqu’elles existent, les traces Maître Hibou.</w:t>
      </w:r>
    </w:p>
    <w:sectPr w:rsidR="00FC693F" w:rsidRPr="0006063C" w:rsidSect="00034616">
      <w:pgSz w:w="12240" w:h="15840"/>
      <w:pgMar w:top="652" w:right="737" w:bottom="652"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60"/>
      <w:outlineLvl w:val="0"/>
    </w:pPr>
    <w:rPr>
      <w:rFonts w:asciiTheme="majorHAnsi" w:eastAsiaTheme="majorEastAsia" w:hAnsiTheme="majorHAnsi" w:cstheme="majorBidi" w:ascii="Aptos Display" w:hAnsi="Aptos Display"/>
      <w:b/>
      <w:bCs/>
      <w:color w:val="6D3AC7"/>
      <w:sz w:val="27"/>
      <w:szCs w:val="28"/>
    </w:rPr>
  </w:style>
  <w:style w:type="paragraph" w:styleId="Heading2">
    <w:name w:val="heading 2"/>
    <w:basedOn w:val="Normal"/>
    <w:next w:val="Normal"/>
    <w:link w:val="Heading2Char"/>
    <w:uiPriority w:val="9"/>
    <w:unhideWhenUsed/>
    <w:qFormat/>
    <w:rsid w:val="00FC693F"/>
    <w:pPr>
      <w:keepNext/>
      <w:keepLines/>
      <w:spacing w:before="80" w:after="60"/>
      <w:outlineLvl w:val="1"/>
    </w:pPr>
    <w:rPr>
      <w:rFonts w:asciiTheme="majorHAnsi" w:eastAsiaTheme="majorEastAsia" w:hAnsiTheme="majorHAnsi" w:cstheme="majorBidi" w:ascii="Aptos Display" w:hAnsi="Aptos Display"/>
      <w:b/>
      <w:bCs/>
      <w:color w:val="163A6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80"/>
      <w:contextualSpacing/>
    </w:pPr>
    <w:rPr>
      <w:rFonts w:asciiTheme="majorHAnsi" w:eastAsiaTheme="majorEastAsia" w:hAnsiTheme="majorHAnsi" w:cstheme="majorBidi" w:ascii="Aptos Display" w:hAnsi="Aptos Display"/>
      <w:b/>
      <w:color w:val="163A6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