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MATHÉMATIQUES CE2 — P4 — GRILLE ENSEIGNANT VERROUILLÉE</w:t>
      </w:r>
    </w:p>
    <w:p>
      <w:pPr>
        <w:jc w:val="center"/>
      </w:pPr>
      <w:r>
        <w:rPr>
          <w:i/>
        </w:rPr>
        <w:t>Règle : 1 ligne d’évaluation = 1 compétence = 1 code canonique</w:t>
      </w:r>
    </w:p>
    <w:p>
      <w:r>
        <w:t>Élève : ____________________________________________     Date : 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8A8A8"/>
          <w:left w:val="single" w:sz="5" w:color="A8A8A8"/>
          <w:bottom w:val="single" w:sz="5" w:color="A8A8A8"/>
          <w:right w:val="single" w:sz="5" w:color="A8A8A8"/>
          <w:insideH w:val="single" w:sz="5" w:color="A8A8A8"/>
          <w:insideV w:val="single" w:sz="5" w:color="A8A8A8"/>
        </w:tblBorders>
      </w:tblPr>
      <w:tblGrid>
        <w:gridCol w:w="1191"/>
        <w:gridCol w:w="2324"/>
        <w:gridCol w:w="4025"/>
        <w:gridCol w:w="879"/>
        <w:gridCol w:w="879"/>
        <w:gridCol w:w="794"/>
        <w:gridCol w:w="794"/>
      </w:tblGrid>
      <w:tr>
        <w:tc>
          <w:tcPr>
            <w:tcW w:type="dxa" w:w="1538"/>
            <w:shd w:fill="D9EAD3"/>
          </w:tcPr>
          <w:p>
            <w:pPr>
              <w:jc w:val="center"/>
            </w:pPr>
            <w:r>
              <w:rPr>
                <w:b/>
              </w:rPr>
              <w:t>Code exact</w:t>
            </w:r>
          </w:p>
        </w:tc>
        <w:tc>
          <w:tcPr>
            <w:tcW w:type="dxa" w:w="1538"/>
            <w:shd w:fill="D9EAD3"/>
          </w:tcPr>
          <w:p>
            <w:pPr>
              <w:jc w:val="center"/>
            </w:pPr>
            <w:r>
              <w:rPr>
                <w:b/>
              </w:rPr>
              <w:t>Compétence</w:t>
            </w:r>
          </w:p>
        </w:tc>
        <w:tc>
          <w:tcPr>
            <w:tcW w:type="dxa" w:w="1538"/>
            <w:shd w:fill="D9EAD3"/>
          </w:tcPr>
          <w:p>
            <w:pPr>
              <w:jc w:val="center"/>
            </w:pPr>
            <w:r>
              <w:rPr>
                <w:b/>
              </w:rPr>
              <w:t>Indices observables</w:t>
            </w:r>
          </w:p>
        </w:tc>
        <w:tc>
          <w:tcPr>
            <w:tcW w:type="dxa" w:w="1538"/>
            <w:shd w:fill="D9EAD3"/>
          </w:tcPr>
          <w:p>
            <w:pPr>
              <w:jc w:val="center"/>
            </w:pPr>
            <w:r>
              <w:rPr>
                <w:b/>
              </w:rPr>
              <w:t>Non évalué</w:t>
            </w:r>
          </w:p>
        </w:tc>
        <w:tc>
          <w:tcPr>
            <w:tcW w:type="dxa" w:w="1538"/>
            <w:shd w:fill="D9EAD3"/>
          </w:tcPr>
          <w:p>
            <w:pPr>
              <w:jc w:val="center"/>
            </w:pPr>
            <w:r>
              <w:rPr>
                <w:b/>
              </w:rPr>
              <w:t>À renforcer</w:t>
            </w:r>
          </w:p>
        </w:tc>
        <w:tc>
          <w:tcPr>
            <w:tcW w:type="dxa" w:w="1538"/>
            <w:shd w:fill="D9EAD3"/>
          </w:tcPr>
          <w:p>
            <w:pPr>
              <w:jc w:val="center"/>
            </w:pPr>
            <w:r>
              <w:rPr>
                <w:b/>
              </w:rPr>
              <w:t>En cours</w:t>
            </w:r>
          </w:p>
        </w:tc>
        <w:tc>
          <w:tcPr>
            <w:tcW w:type="dxa" w:w="1538"/>
            <w:shd w:fill="D9EAD3"/>
          </w:tcPr>
          <w:p>
            <w:pPr>
              <w:jc w:val="center"/>
            </w:pPr>
            <w:r>
              <w:rPr>
                <w:b/>
              </w:rPr>
              <w:t>Acquis</w:t>
            </w:r>
          </w:p>
        </w:tc>
      </w:tr>
      <w:tr>
        <w:tc>
          <w:tcPr>
            <w:tcW w:type="dxa" w:w="119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NUM-P4-01</w:t>
            </w:r>
          </w:p>
        </w:tc>
        <w:tc>
          <w:tcPr>
            <w:tcW w:type="dxa" w:w="232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Résoudre un problème de numération</w:t>
            </w:r>
          </w:p>
        </w:tc>
        <w:tc>
          <w:tcPr>
            <w:tcW w:type="dxa" w:w="402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Utilise la valeur des chiffres, effectue les échanges et détermine le nombre total.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NUM-P4-02</w:t>
            </w:r>
          </w:p>
        </w:tc>
        <w:tc>
          <w:tcPr>
            <w:tcW w:type="dxa" w:w="232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Estimer l’ordre de grandeur d’un nombre</w:t>
            </w:r>
          </w:p>
        </w:tc>
        <w:tc>
          <w:tcPr>
            <w:tcW w:type="dxa" w:w="402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Choisit une approximation cohérente et sait la justifier simplement.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FRA-P4-01</w:t>
            </w:r>
          </w:p>
        </w:tc>
        <w:tc>
          <w:tcPr>
            <w:tcW w:type="dxa" w:w="232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Comparer et ordonner des fractions simples</w:t>
            </w:r>
          </w:p>
        </w:tc>
        <w:tc>
          <w:tcPr>
            <w:tcW w:type="dxa" w:w="402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Compare et range des fractions simples en utilisant une unité commune.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FRA-P4-02</w:t>
            </w:r>
          </w:p>
        </w:tc>
        <w:tc>
          <w:tcPr>
            <w:tcW w:type="dxa" w:w="232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Additionner ou soustraire des fractions simples</w:t>
            </w:r>
          </w:p>
        </w:tc>
        <w:tc>
          <w:tcPr>
            <w:tcW w:type="dxa" w:w="402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Réunit ou retire correctement des parts de même taille.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CAL-P4-01</w:t>
            </w:r>
          </w:p>
        </w:tc>
        <w:tc>
          <w:tcPr>
            <w:tcW w:type="dxa" w:w="232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Multiplier un nombre à deux chiffres par un chiffre</w:t>
            </w:r>
          </w:p>
        </w:tc>
        <w:tc>
          <w:tcPr>
            <w:tcW w:type="dxa" w:w="402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Décompose et calcule mentalement des produits simples avec exactitude.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CAL-P4-02</w:t>
            </w:r>
          </w:p>
        </w:tc>
        <w:tc>
          <w:tcPr>
            <w:tcW w:type="dxa" w:w="232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Choisir une stratégie efficace</w:t>
            </w:r>
          </w:p>
        </w:tc>
        <w:tc>
          <w:tcPr>
            <w:tcW w:type="dxa" w:w="402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Choisit une procédure courte et adaptée aux nombres proposés.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OPE-P4-01</w:t>
            </w:r>
          </w:p>
        </w:tc>
        <w:tc>
          <w:tcPr>
            <w:tcW w:type="dxa" w:w="232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Multiplier par un nombre à deux chiffres</w:t>
            </w:r>
          </w:p>
        </w:tc>
        <w:tc>
          <w:tcPr>
            <w:tcW w:type="dxa" w:w="402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Pose et effectue une multiplication à deux chiffres en organisant les produits partiels.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OPE-P4-02</w:t>
            </w:r>
          </w:p>
        </w:tc>
        <w:tc>
          <w:tcPr>
            <w:tcW w:type="dxa" w:w="232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Comprendre le sens de la division</w:t>
            </w:r>
          </w:p>
        </w:tc>
        <w:tc>
          <w:tcPr>
            <w:tcW w:type="dxa" w:w="402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Distingue partage et groupement et interprète quotient et reste simple.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PRO-P4-01</w:t>
            </w:r>
          </w:p>
        </w:tc>
        <w:tc>
          <w:tcPr>
            <w:tcW w:type="dxa" w:w="232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Résoudre un problème de périmètre</w:t>
            </w:r>
          </w:p>
        </w:tc>
        <w:tc>
          <w:tcPr>
            <w:tcW w:type="dxa" w:w="402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Identifie le contour, choisit les longueurs utiles et calcule le périmètre.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PRO-P4-02</w:t>
            </w:r>
          </w:p>
        </w:tc>
        <w:tc>
          <w:tcPr>
            <w:tcW w:type="dxa" w:w="232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Résoudre un problème de durée</w:t>
            </w:r>
          </w:p>
        </w:tc>
        <w:tc>
          <w:tcPr>
            <w:tcW w:type="dxa" w:w="402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Détermine une heure de fin à partir d’un horaire et d’une durée.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PRO-P4-03</w:t>
            </w:r>
          </w:p>
        </w:tc>
        <w:tc>
          <w:tcPr>
            <w:tcW w:type="dxa" w:w="232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Résoudre un problème à partir de données</w:t>
            </w:r>
          </w:p>
        </w:tc>
        <w:tc>
          <w:tcPr>
            <w:tcW w:type="dxa" w:w="402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Sélectionne les données utiles et réalise les calculs répondant aux questions.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MES-P4-01</w:t>
            </w:r>
          </w:p>
        </w:tc>
        <w:tc>
          <w:tcPr>
            <w:tcW w:type="dxa" w:w="232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Calculer le périmètre d’un polygone</w:t>
            </w:r>
          </w:p>
        </w:tc>
        <w:tc>
          <w:tcPr>
            <w:tcW w:type="dxa" w:w="402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Additionne correctement les longueurs des côtés et indique l’unité.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MAS-P4-01</w:t>
            </w:r>
          </w:p>
        </w:tc>
        <w:tc>
          <w:tcPr>
            <w:tcW w:type="dxa" w:w="232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Utiliser la relation entre kg et g</w:t>
            </w:r>
          </w:p>
        </w:tc>
        <w:tc>
          <w:tcPr>
            <w:tcW w:type="dxa" w:w="402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Utilise 1 kg = 1 000 g pour convertir et comparer des masses simples.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MON-P4-01</w:t>
            </w:r>
          </w:p>
        </w:tc>
        <w:tc>
          <w:tcPr>
            <w:tcW w:type="dxa" w:w="232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Rendre la monnaie</w:t>
            </w:r>
          </w:p>
        </w:tc>
        <w:tc>
          <w:tcPr>
            <w:tcW w:type="dxa" w:w="402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Calcule la différence prix/somme donnée et compose un rendu possible.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TEM-P4-01</w:t>
            </w:r>
          </w:p>
        </w:tc>
        <w:tc>
          <w:tcPr>
            <w:tcW w:type="dxa" w:w="232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Mesurer une durée écoulée</w:t>
            </w:r>
          </w:p>
        </w:tc>
        <w:tc>
          <w:tcPr>
            <w:tcW w:type="dxa" w:w="402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Calcule une durée entre deux horaires en heures et minutes.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GEO-P4-01</w:t>
            </w:r>
          </w:p>
        </w:tc>
        <w:tc>
          <w:tcPr>
            <w:tcW w:type="dxa" w:w="232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Reconnaître le cercle et le disque</w:t>
            </w:r>
          </w:p>
        </w:tc>
        <w:tc>
          <w:tcPr>
            <w:tcW w:type="dxa" w:w="402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Distingue cercle/disque et emploie correctement centre, rayon et diamètre.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GEO-P4-02</w:t>
            </w:r>
          </w:p>
        </w:tc>
        <w:tc>
          <w:tcPr>
            <w:tcW w:type="dxa" w:w="232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Tracer un cercle au compas</w:t>
            </w:r>
          </w:p>
        </w:tc>
        <w:tc>
          <w:tcPr>
            <w:tcW w:type="dxa" w:w="402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Règle et utilise correctement le compas pour respecter centre et rayon.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GEO-P4-03</w:t>
            </w:r>
          </w:p>
        </w:tc>
        <w:tc>
          <w:tcPr>
            <w:tcW w:type="dxa" w:w="232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Suivre un programme de construction</w:t>
            </w:r>
          </w:p>
        </w:tc>
        <w:tc>
          <w:tcPr>
            <w:tcW w:type="dxa" w:w="402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Respecte l’ordre des consignes et mobilise les instruments adaptés.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1191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DON-P4-01</w:t>
            </w:r>
          </w:p>
        </w:tc>
        <w:tc>
          <w:tcPr>
            <w:tcW w:type="dxa" w:w="232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Résoudre un problème avec un tableau ou diagramme</w:t>
            </w:r>
          </w:p>
        </w:tc>
        <w:tc>
          <w:tcPr>
            <w:tcW w:type="dxa" w:w="4025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r>
              <w:rPr>
                <w:sz w:val="15"/>
              </w:rPr>
              <w:t>Lit, combine et interprète correctement des données organisées.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879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94"/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</w:tr>
    </w:tbl>
    <w:p/>
    <w:p>
      <w:r>
        <w:rPr>
          <w:b/>
        </w:rPr>
        <w:t>Observations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rPr>
          <w:b/>
        </w:rPr>
        <w:t>Décisions pédagogiques</w:t>
      </w:r>
    </w:p>
    <w:p>
      <w:r>
        <w:t>Compétences à reprendre : _________________________________________________________________</w:t>
      </w:r>
    </w:p>
    <w:p>
      <w:r>
        <w:t>Élèves nécessitant un étayage : ___________________________________________________________</w:t>
      </w:r>
    </w:p>
    <w:p>
      <w:r>
        <w:t>Remédiations prévues : __________________________________________________________________</w:t>
      </w:r>
    </w:p>
    <w:sectPr w:rsidR="00FC693F" w:rsidRPr="0006063C" w:rsidSect="00034616">
      <w:pgSz w:w="12240" w:h="15840"/>
      <w:pgMar w:top="669" w:right="737" w:bottom="669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