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4D247D">
      <w:pPr>
        <w:snapToGrid w:val="0"/>
        <w:spacing w:before="78" w:after="78"/>
        <w:ind w:leftChars="-1" w:hanging="2" w:firstLineChars="0"/>
        <w:jc w:val="center"/>
        <w:rPr>
          <w:rFonts w:eastAsia="黑体"/>
          <w:b/>
          <w:sz w:val="32"/>
          <w:szCs w:val="32"/>
        </w:rPr>
      </w:pPr>
      <w:r>
        <w:rPr>
          <w:rFonts w:hint="eastAsia" w:eastAsia="黑体"/>
          <w:bCs/>
          <w:sz w:val="32"/>
          <w:szCs w:val="32"/>
        </w:rPr>
        <w:t>本科生</w:t>
      </w:r>
      <w:r>
        <w:rPr>
          <w:rFonts w:eastAsia="黑体"/>
          <w:bCs/>
          <w:sz w:val="32"/>
          <w:szCs w:val="32"/>
        </w:rPr>
        <w:t>毕业</w:t>
      </w:r>
      <w:r>
        <w:rPr>
          <w:rFonts w:hint="eastAsia" w:eastAsia="黑体"/>
          <w:bCs/>
          <w:sz w:val="32"/>
          <w:szCs w:val="32"/>
        </w:rPr>
        <w:t>论文</w:t>
      </w:r>
      <w:r>
        <w:rPr>
          <w:rFonts w:eastAsia="黑体"/>
          <w:bCs/>
          <w:sz w:val="32"/>
          <w:szCs w:val="32"/>
        </w:rPr>
        <w:t>（</w:t>
      </w:r>
      <w:r>
        <w:rPr>
          <w:rFonts w:hint="eastAsia" w:eastAsia="黑体"/>
          <w:bCs/>
          <w:sz w:val="32"/>
          <w:szCs w:val="32"/>
        </w:rPr>
        <w:t>设计</w:t>
      </w:r>
      <w:r>
        <w:rPr>
          <w:rFonts w:eastAsia="黑体"/>
          <w:bCs/>
          <w:sz w:val="32"/>
          <w:szCs w:val="32"/>
        </w:rPr>
        <w:t>）任务书</w:t>
      </w:r>
    </w:p>
    <w:tbl>
      <w:tblPr>
        <w:tblStyle w:val="6"/>
        <w:tblW w:w="0" w:type="auto"/>
        <w:jc w:val="center"/>
        <w:tblLayout w:type="autofit"/>
        <w:tblCellMar>
          <w:top w:w="0" w:type="dxa"/>
          <w:left w:w="105" w:type="dxa"/>
          <w:bottom w:w="0" w:type="dxa"/>
          <w:right w:w="105" w:type="dxa"/>
        </w:tblCellMar>
      </w:tblPr>
      <w:tblGrid>
        <w:gridCol w:w="2566"/>
        <w:gridCol w:w="2370"/>
        <w:gridCol w:w="1335"/>
        <w:gridCol w:w="2245"/>
      </w:tblGrid>
      <w:tr w14:paraId="26E6C20F">
        <w:tblPrEx>
          <w:tblCellMar>
            <w:top w:w="0" w:type="dxa"/>
            <w:left w:w="105" w:type="dxa"/>
            <w:bottom w:w="0" w:type="dxa"/>
            <w:right w:w="105" w:type="dxa"/>
          </w:tblCellMar>
        </w:tblPrEx>
        <w:trPr>
          <w:trHeight w:val="536" w:hRule="atLeast"/>
          <w:jc w:val="center"/>
        </w:trPr>
        <w:tc>
          <w:tcPr>
            <w:tcW w:w="256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57DA97A">
            <w:pPr>
              <w:widowControl/>
              <w:spacing w:beforeLines="0" w:afterLines="0" w:line="270" w:lineRule="atLeast"/>
              <w:ind w:firstLine="0" w:firstLineChars="0"/>
              <w:jc w:val="center"/>
              <w:rPr>
                <w:color w:val="000000"/>
                <w:kern w:val="0"/>
              </w:rPr>
            </w:pPr>
            <w:r>
              <w:rPr>
                <w:color w:val="000000"/>
                <w:kern w:val="0"/>
              </w:rPr>
              <w:t>姓</w:t>
            </w:r>
            <w:r>
              <w:rPr>
                <w:rFonts w:hint="eastAsia"/>
                <w:color w:val="000000"/>
                <w:kern w:val="0"/>
              </w:rPr>
              <w:t xml:space="preserve">    </w:t>
            </w:r>
            <w:r>
              <w:rPr>
                <w:color w:val="000000"/>
                <w:kern w:val="0"/>
              </w:rPr>
              <w:t>名</w:t>
            </w:r>
          </w:p>
        </w:tc>
        <w:tc>
          <w:tcPr>
            <w:tcW w:w="2370" w:type="dxa"/>
            <w:tcBorders>
              <w:top w:val="single" w:color="000000" w:sz="6" w:space="0"/>
              <w:left w:val="nil"/>
              <w:bottom w:val="single" w:color="000000" w:sz="6" w:space="0"/>
              <w:right w:val="single" w:color="000000" w:sz="6" w:space="0"/>
            </w:tcBorders>
            <w:vAlign w:val="center"/>
          </w:tcPr>
          <w:p w14:paraId="60DB6D88">
            <w:pPr>
              <w:widowControl/>
              <w:spacing w:beforeLines="0" w:afterLines="0" w:line="270" w:lineRule="atLeast"/>
              <w:ind w:firstLine="0" w:firstLineChars="0"/>
              <w:jc w:val="center"/>
              <w:rPr>
                <w:rFonts w:hint="eastAsia" w:eastAsia="宋体"/>
                <w:color w:val="000000"/>
                <w:kern w:val="0"/>
                <w:lang w:val="en-US" w:eastAsia="zh-CN"/>
              </w:rPr>
            </w:pPr>
            <w:r>
              <w:rPr>
                <w:rFonts w:hint="eastAsia"/>
                <w:color w:val="000000"/>
                <w:kern w:val="0"/>
                <w:lang w:val="en-US" w:eastAsia="zh-CN"/>
              </w:rPr>
              <w:t>詹咏庭</w:t>
            </w:r>
          </w:p>
        </w:tc>
        <w:tc>
          <w:tcPr>
            <w:tcW w:w="1335" w:type="dxa"/>
            <w:tcBorders>
              <w:top w:val="single" w:color="000000" w:sz="6" w:space="0"/>
              <w:left w:val="nil"/>
              <w:bottom w:val="single" w:color="000000" w:sz="6" w:space="0"/>
              <w:right w:val="single" w:color="000000" w:sz="6" w:space="0"/>
            </w:tcBorders>
            <w:vAlign w:val="center"/>
          </w:tcPr>
          <w:p w14:paraId="5D05EDCB">
            <w:pPr>
              <w:widowControl/>
              <w:spacing w:beforeLines="0" w:afterLines="0" w:line="270" w:lineRule="atLeast"/>
              <w:ind w:firstLine="0" w:firstLineChars="0"/>
              <w:jc w:val="center"/>
              <w:rPr>
                <w:color w:val="000000"/>
                <w:kern w:val="0"/>
              </w:rPr>
            </w:pPr>
            <w:r>
              <w:rPr>
                <w:color w:val="000000"/>
                <w:kern w:val="0"/>
              </w:rPr>
              <w:t>学    号</w:t>
            </w:r>
          </w:p>
        </w:tc>
        <w:tc>
          <w:tcPr>
            <w:tcW w:w="2245" w:type="dxa"/>
            <w:tcBorders>
              <w:top w:val="single" w:color="000000" w:sz="6" w:space="0"/>
              <w:left w:val="nil"/>
              <w:bottom w:val="single" w:color="000000" w:sz="6" w:space="0"/>
              <w:right w:val="single" w:color="000000" w:sz="6" w:space="0"/>
            </w:tcBorders>
            <w:vAlign w:val="center"/>
          </w:tcPr>
          <w:p w14:paraId="47807A75">
            <w:pPr>
              <w:widowControl/>
              <w:spacing w:beforeLines="0" w:afterLines="0" w:line="270" w:lineRule="atLeast"/>
              <w:ind w:firstLine="0" w:firstLineChars="0"/>
              <w:jc w:val="center"/>
              <w:rPr>
                <w:rFonts w:hint="default" w:eastAsia="宋体"/>
                <w:color w:val="000000"/>
                <w:kern w:val="0"/>
                <w:lang w:val="en-US" w:eastAsia="zh-CN"/>
              </w:rPr>
            </w:pPr>
            <w:r>
              <w:rPr>
                <w:rFonts w:hint="eastAsia"/>
                <w:color w:val="000000"/>
                <w:kern w:val="0"/>
              </w:rPr>
              <w:t>2</w:t>
            </w:r>
            <w:r>
              <w:rPr>
                <w:rFonts w:hint="eastAsia"/>
                <w:color w:val="000000"/>
                <w:kern w:val="0"/>
                <w:lang w:val="en-US" w:eastAsia="zh-CN"/>
              </w:rPr>
              <w:t>023312412</w:t>
            </w:r>
          </w:p>
        </w:tc>
      </w:tr>
      <w:tr w14:paraId="75A8D66C">
        <w:tblPrEx>
          <w:tblCellMar>
            <w:top w:w="0" w:type="dxa"/>
            <w:left w:w="105" w:type="dxa"/>
            <w:bottom w:w="0" w:type="dxa"/>
            <w:right w:w="105" w:type="dxa"/>
          </w:tblCellMar>
        </w:tblPrEx>
        <w:trPr>
          <w:trHeight w:val="536" w:hRule="atLeast"/>
          <w:jc w:val="center"/>
        </w:trPr>
        <w:tc>
          <w:tcPr>
            <w:tcW w:w="256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DAF6DF8">
            <w:pPr>
              <w:widowControl/>
              <w:spacing w:beforeLines="0" w:afterLines="0" w:line="270" w:lineRule="atLeast"/>
              <w:ind w:firstLine="0" w:firstLineChars="0"/>
              <w:jc w:val="center"/>
              <w:rPr>
                <w:color w:val="000000"/>
                <w:kern w:val="0"/>
              </w:rPr>
            </w:pPr>
            <w:r>
              <w:rPr>
                <w:color w:val="000000"/>
                <w:kern w:val="0"/>
              </w:rPr>
              <w:t>专    业</w:t>
            </w:r>
          </w:p>
        </w:tc>
        <w:tc>
          <w:tcPr>
            <w:tcW w:w="5950" w:type="dxa"/>
            <w:gridSpan w:val="3"/>
            <w:tcBorders>
              <w:top w:val="single" w:color="000000" w:sz="6" w:space="0"/>
              <w:left w:val="nil"/>
              <w:bottom w:val="single" w:color="000000" w:sz="6" w:space="0"/>
              <w:right w:val="single" w:color="000000" w:sz="6" w:space="0"/>
            </w:tcBorders>
            <w:vAlign w:val="center"/>
          </w:tcPr>
          <w:p w14:paraId="4E1ACFF5">
            <w:pPr>
              <w:widowControl/>
              <w:spacing w:beforeLines="0" w:afterLines="0" w:line="270" w:lineRule="atLeast"/>
              <w:ind w:firstLine="0" w:firstLineChars="0"/>
              <w:jc w:val="center"/>
              <w:rPr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自动化</w:t>
            </w:r>
          </w:p>
        </w:tc>
      </w:tr>
      <w:tr w14:paraId="387540D9">
        <w:tblPrEx>
          <w:tblCellMar>
            <w:top w:w="0" w:type="dxa"/>
            <w:left w:w="105" w:type="dxa"/>
            <w:bottom w:w="0" w:type="dxa"/>
            <w:right w:w="105" w:type="dxa"/>
          </w:tblCellMar>
        </w:tblPrEx>
        <w:trPr>
          <w:trHeight w:val="536" w:hRule="atLeast"/>
          <w:jc w:val="center"/>
        </w:trPr>
        <w:tc>
          <w:tcPr>
            <w:tcW w:w="256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936E711">
            <w:pPr>
              <w:widowControl/>
              <w:spacing w:beforeLines="0" w:afterLines="0" w:line="270" w:lineRule="atLeast"/>
              <w:ind w:firstLine="0" w:firstLineChars="0"/>
              <w:jc w:val="center"/>
              <w:rPr>
                <w:color w:val="000000"/>
                <w:kern w:val="0"/>
              </w:rPr>
            </w:pPr>
            <w:r>
              <w:t>任务起至日期</w:t>
            </w:r>
          </w:p>
        </w:tc>
        <w:tc>
          <w:tcPr>
            <w:tcW w:w="5950" w:type="dxa"/>
            <w:gridSpan w:val="3"/>
            <w:tcBorders>
              <w:top w:val="single" w:color="000000" w:sz="6" w:space="0"/>
              <w:left w:val="nil"/>
              <w:bottom w:val="single" w:color="000000" w:sz="6" w:space="0"/>
              <w:right w:val="single" w:color="000000" w:sz="6" w:space="0"/>
            </w:tcBorders>
            <w:vAlign w:val="center"/>
          </w:tcPr>
          <w:p w14:paraId="7A4B5E80">
            <w:pPr>
              <w:widowControl/>
              <w:spacing w:beforeLines="0" w:afterLines="0" w:line="270" w:lineRule="atLeast"/>
              <w:ind w:firstLine="0" w:firstLineChars="0"/>
              <w:jc w:val="center"/>
              <w:rPr>
                <w:color w:val="000000"/>
                <w:kern w:val="0"/>
              </w:rPr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  <w:lang w:val="en-US" w:eastAsia="zh-CN"/>
              </w:rPr>
              <w:t>6</w:t>
            </w:r>
            <w:r>
              <w:t>年</w:t>
            </w:r>
            <w:r>
              <w:rPr>
                <w:rFonts w:hint="eastAsia"/>
              </w:rPr>
              <w:t xml:space="preserve"> </w:t>
            </w:r>
            <w:r>
              <w:t>9 月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20</w:t>
            </w:r>
            <w:r>
              <w:rPr>
                <w:rFonts w:hint="eastAsia"/>
              </w:rPr>
              <w:t xml:space="preserve"> </w:t>
            </w:r>
            <w:r>
              <w:t>日</w:t>
            </w:r>
            <w:r>
              <w:rPr>
                <w:rFonts w:hint="eastAsia"/>
              </w:rPr>
              <w:t xml:space="preserve"> </w:t>
            </w:r>
            <w:r>
              <w:t>至</w:t>
            </w:r>
            <w:r>
              <w:rPr>
                <w:rFonts w:hint="eastAsia"/>
              </w:rPr>
              <w:t xml:space="preserve"> 202</w:t>
            </w:r>
            <w:r>
              <w:rPr>
                <w:rFonts w:hint="eastAsia"/>
                <w:lang w:val="en-US" w:eastAsia="zh-CN"/>
              </w:rPr>
              <w:t>7</w:t>
            </w:r>
            <w:r>
              <w:rPr>
                <w:rFonts w:hint="eastAsia"/>
              </w:rPr>
              <w:t xml:space="preserve"> </w:t>
            </w:r>
            <w:r>
              <w:t>年</w:t>
            </w:r>
            <w:r>
              <w:rPr>
                <w:rFonts w:hint="eastAsia"/>
              </w:rPr>
              <w:t xml:space="preserve"> </w:t>
            </w:r>
            <w:r>
              <w:t>5</w:t>
            </w:r>
            <w:r>
              <w:rPr>
                <w:rFonts w:hint="eastAsia"/>
              </w:rPr>
              <w:t xml:space="preserve"> </w:t>
            </w:r>
            <w:r>
              <w:t>月</w:t>
            </w:r>
            <w:r>
              <w:rPr>
                <w:rFonts w:hint="eastAsia"/>
              </w:rPr>
              <w:t xml:space="preserve"> </w:t>
            </w:r>
            <w:r>
              <w:t>30</w:t>
            </w:r>
            <w:r>
              <w:rPr>
                <w:rFonts w:hint="eastAsia"/>
              </w:rPr>
              <w:t xml:space="preserve"> </w:t>
            </w:r>
            <w:r>
              <w:t>日</w:t>
            </w:r>
          </w:p>
        </w:tc>
      </w:tr>
      <w:tr w14:paraId="4D8E512A">
        <w:tblPrEx>
          <w:tblCellMar>
            <w:top w:w="0" w:type="dxa"/>
            <w:left w:w="105" w:type="dxa"/>
            <w:bottom w:w="0" w:type="dxa"/>
            <w:right w:w="105" w:type="dxa"/>
          </w:tblCellMar>
        </w:tblPrEx>
        <w:trPr>
          <w:trHeight w:val="536" w:hRule="atLeast"/>
          <w:jc w:val="center"/>
        </w:trPr>
        <w:tc>
          <w:tcPr>
            <w:tcW w:w="2566" w:type="dxa"/>
            <w:tcBorders>
              <w:top w:val="nil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545917D">
            <w:pPr>
              <w:widowControl/>
              <w:spacing w:beforeLines="0" w:afterLines="0" w:line="270" w:lineRule="atLeast"/>
              <w:ind w:firstLine="0" w:firstLineChars="0"/>
              <w:jc w:val="center"/>
              <w:rPr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论文</w:t>
            </w:r>
            <w:r>
              <w:rPr>
                <w:color w:val="000000"/>
                <w:kern w:val="0"/>
              </w:rPr>
              <w:t>（</w:t>
            </w:r>
            <w:r>
              <w:rPr>
                <w:rFonts w:hint="eastAsia"/>
                <w:color w:val="000000"/>
                <w:kern w:val="0"/>
              </w:rPr>
              <w:t>设计</w:t>
            </w:r>
            <w:r>
              <w:rPr>
                <w:color w:val="000000"/>
                <w:kern w:val="0"/>
              </w:rPr>
              <w:t>）题目</w:t>
            </w:r>
          </w:p>
        </w:tc>
        <w:tc>
          <w:tcPr>
            <w:tcW w:w="5950" w:type="dxa"/>
            <w:gridSpan w:val="3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vAlign w:val="center"/>
          </w:tcPr>
          <w:p w14:paraId="58EB14EB">
            <w:pPr>
              <w:widowControl/>
              <w:spacing w:beforeLines="0" w:afterLines="0" w:line="270" w:lineRule="atLeast"/>
              <w:ind w:firstLine="0" w:firstLineChars="0"/>
              <w:jc w:val="center"/>
              <w:rPr>
                <w:rFonts w:hint="default" w:eastAsia="宋体"/>
                <w:color w:val="000000"/>
                <w:kern w:val="0"/>
                <w:lang w:val="en-US" w:eastAsia="zh-CN"/>
              </w:rPr>
            </w:pPr>
            <w:r>
              <w:rPr>
                <w:rFonts w:hint="eastAsia"/>
                <w:color w:val="000000"/>
                <w:kern w:val="0"/>
                <w:lang w:val="en-US" w:eastAsia="zh-CN"/>
              </w:rPr>
              <w:t>多轮大语言模型智能体中步骤-词元级优势的嵌套估计</w:t>
            </w:r>
          </w:p>
        </w:tc>
      </w:tr>
      <w:tr w14:paraId="0BD66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09" w:hRule="atLeast"/>
          <w:jc w:val="center"/>
        </w:trPr>
        <w:tc>
          <w:tcPr>
            <w:tcW w:w="8516" w:type="dxa"/>
            <w:gridSpan w:val="4"/>
          </w:tcPr>
          <w:p w14:paraId="67CC9145">
            <w:pPr>
              <w:spacing w:before="78" w:after="78" w:line="380" w:lineRule="exact"/>
              <w:ind w:left="0" w:leftChars="0" w:firstLine="0" w:firstLineChars="0"/>
            </w:pPr>
            <w:r>
              <w:t>立题的目的和意义：</w:t>
            </w:r>
          </w:p>
          <w:p w14:paraId="7351A260">
            <w:pPr>
              <w:spacing w:before="78" w:after="78" w:line="380" w:lineRule="exact"/>
              <w:ind w:firstLine="480"/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</w:pP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多轮大语言模型智能体（</w:t>
            </w:r>
            <w:r>
              <w:rPr>
                <w:rFonts w:hint="default" w:ascii="Times New Roman" w:hAnsi="Times New Roman" w:eastAsia="Segoe UI" w:cs="Times New Roman"/>
                <w:kern w:val="0"/>
                <w:shd w:val="clear" w:color="auto" w:fill="FFFFFF"/>
                <w:lang w:bidi="ar"/>
              </w:rPr>
              <w:t>multi-turn LLM agent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）的强化学习后训练中， 信用分配粒度是决定训练效率与最终性能的关键因素。当前主流方法各自在单一粒度上做优势估计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eastAsia="zh-CN" w:bidi="ar"/>
              </w:rPr>
              <w:t>，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val="en-US" w:eastAsia="zh-CN" w:bidi="ar"/>
              </w:rPr>
              <w:t>一是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序列级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val="en-US" w:eastAsia="zh-CN" w:bidi="ar"/>
              </w:rPr>
              <w:t>如</w:t>
            </w:r>
            <w:r>
              <w:rPr>
                <w:rFonts w:hint="default" w:ascii="Times New Roman" w:hAnsi="Times New Roman" w:eastAsia="Segoe UI" w:cs="Times New Roman"/>
                <w:kern w:val="0"/>
                <w:shd w:val="clear" w:color="auto" w:fill="FFFFFF"/>
                <w:lang w:bidi="ar"/>
              </w:rPr>
              <w:t>GRPO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eastAsia="zh-CN" w:bidi="ar"/>
              </w:rPr>
              <w:t>，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以完整轨迹为单元计算组内相对优势，信号最粗，无法定位轨迹内部哪一步、哪个词元贡献了奖励；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val="en-US" w:eastAsia="zh-CN" w:bidi="ar"/>
              </w:rPr>
              <w:t>二是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步骤级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val="en-US" w:eastAsia="zh-CN" w:bidi="ar"/>
              </w:rPr>
              <w:t>如</w:t>
            </w:r>
            <w:r>
              <w:rPr>
                <w:rFonts w:hint="default" w:ascii="Times New Roman" w:hAnsi="Times New Roman" w:eastAsia="Segoe UI" w:cs="Times New Roman"/>
                <w:kern w:val="0"/>
                <w:shd w:val="clear" w:color="auto" w:fill="FFFFFF"/>
                <w:lang w:bidi="ar"/>
              </w:rPr>
              <w:t>GiGPO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eastAsia="zh-CN" w:bidi="ar"/>
              </w:rPr>
              <w:t>，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以</w:t>
            </w:r>
            <w:r>
              <w:rPr>
                <w:rFonts w:hint="default" w:ascii="Times New Roman" w:hAnsi="Times New Roman" w:eastAsia="Segoe UI" w:cs="Times New Roman"/>
                <w:kern w:val="0"/>
                <w:shd w:val="clear" w:color="auto" w:fill="FFFFFF"/>
                <w:lang w:bidi="ar"/>
              </w:rPr>
              <w:t>agent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的动作步为单元，通过相同环境观测的轨迹分组计算步级相对优势，但步内部仍无区分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eastAsia="zh-CN" w:bidi="ar"/>
              </w:rPr>
              <w:t>；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val="en-US" w:eastAsia="zh-CN" w:bidi="ar"/>
              </w:rPr>
              <w:t>三是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词元级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val="en-US" w:eastAsia="zh-CN" w:bidi="ar"/>
              </w:rPr>
              <w:t>如</w:t>
            </w:r>
            <w:r>
              <w:rPr>
                <w:rFonts w:hint="default" w:ascii="Times New Roman" w:hAnsi="Times New Roman" w:eastAsia="Segoe UI" w:cs="Times New Roman"/>
                <w:kern w:val="0"/>
                <w:shd w:val="clear" w:color="auto" w:fill="FFFFFF"/>
                <w:lang w:bidi="ar"/>
              </w:rPr>
              <w:t>TAPO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的熵过滤，利用策略熵识别关键推理</w:t>
            </w:r>
            <w:r>
              <w:rPr>
                <w:rFonts w:hint="default" w:ascii="Times New Roman" w:hAnsi="Times New Roman" w:eastAsia="Segoe UI" w:cs="Times New Roman"/>
                <w:kern w:val="0"/>
                <w:shd w:val="clear" w:color="auto" w:fill="FFFFFF"/>
                <w:lang w:bidi="ar"/>
              </w:rPr>
              <w:t>token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，能定位"哪个词元是决策关键"，但缺乏对多轮交互结构的建模。</w:t>
            </w:r>
          </w:p>
          <w:p w14:paraId="295D18CE">
            <w:pPr>
              <w:spacing w:before="78" w:after="78" w:line="380" w:lineRule="exact"/>
              <w:ind w:firstLine="480"/>
              <w:rPr>
                <w:rFonts w:hint="default" w:ascii="Segoe UI" w:hAnsi="Segoe UI" w:eastAsia="宋体" w:cs="Segoe UI"/>
                <w:kern w:val="0"/>
                <w:shd w:val="clear" w:color="auto" w:fill="FFFFFF"/>
                <w:lang w:val="en-US" w:eastAsia="zh-CN" w:bidi="ar"/>
              </w:rPr>
            </w:pPr>
            <w:r>
              <w:rPr>
                <w:rFonts w:hint="eastAsia" w:ascii="Segoe UI" w:hAnsi="Segoe UI" w:cs="Segoe UI"/>
                <w:kern w:val="0"/>
                <w:shd w:val="clear" w:color="auto" w:fill="FFFFFF"/>
                <w:lang w:val="en-US" w:eastAsia="zh-CN" w:bidi="ar"/>
              </w:rPr>
              <w:t>项目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核心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val="en-US" w:eastAsia="zh-CN" w:bidi="ar"/>
              </w:rPr>
              <w:t>目的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在于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val="en-US" w:eastAsia="zh-CN" w:bidi="ar"/>
              </w:rPr>
              <w:t>讨论步骤级与词元级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两个粒度的信用分配是否能正交组合产生叠加增益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eastAsia="zh-CN" w:bidi="ar"/>
              </w:rPr>
              <w:t>，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目前文献中尚无工作系统性地回答这一问题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eastAsia="zh-CN" w:bidi="ar"/>
              </w:rPr>
              <w:t>，</w:t>
            </w:r>
            <w:r>
              <w:rPr>
                <w:rFonts w:hint="default" w:ascii="Times New Roman" w:hAnsi="Times New Roman" w:eastAsia="Segoe UI" w:cs="Times New Roman"/>
                <w:kern w:val="0"/>
                <w:shd w:val="clear" w:color="auto" w:fill="FFFFFF"/>
                <w:lang w:bidi="ar"/>
              </w:rPr>
              <w:t>GiGPO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和</w:t>
            </w:r>
            <w:r>
              <w:rPr>
                <w:rFonts w:hint="default" w:ascii="Times New Roman" w:hAnsi="Times New Roman" w:eastAsia="Segoe UI" w:cs="Times New Roman"/>
                <w:kern w:val="0"/>
                <w:shd w:val="clear" w:color="auto" w:fill="FFFFFF"/>
                <w:lang w:bidi="ar"/>
              </w:rPr>
              <w:t>TAPO/</w:t>
            </w:r>
            <w:r>
              <w:rPr>
                <w:rFonts w:hint="eastAsia" w:cs="Times New Roman"/>
                <w:kern w:val="0"/>
                <w:shd w:val="clear" w:color="auto" w:fill="FFFFFF"/>
                <w:lang w:val="en-US" w:eastAsia="zh-CN" w:bidi="ar"/>
              </w:rPr>
              <w:t>TEMPO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分别独立提出并验证了各自的有效性，但从未在统一框架下做对照消融，更未探索二者的乘法调制能否优于任一单独方法。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val="en-US" w:eastAsia="zh-CN" w:bidi="ar"/>
              </w:rPr>
              <w:t>因此本课题提出</w:t>
            </w:r>
            <w:r>
              <w:rPr>
                <w:rFonts w:hint="default" w:ascii="Times New Roman" w:hAnsi="Times New Roman" w:eastAsia="Segoe UI" w:cs="Times New Roman"/>
                <w:kern w:val="0"/>
                <w:shd w:val="clear" w:color="auto" w:fill="FFFFFF"/>
                <w:lang w:bidi="ar"/>
              </w:rPr>
              <w:t>NEST（Nested Estimation of Step and Token advantages）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eastAsia="zh-CN" w:bidi="ar"/>
              </w:rPr>
              <w:t>，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val="en-US" w:eastAsia="zh-CN" w:bidi="ar"/>
              </w:rPr>
              <w:t>旨在通过实证的方式探究两个粒度之间是否正交/加成/冗余，并实现一种轻量化的嵌套优势估计方式。</w:t>
            </w:r>
          </w:p>
          <w:p w14:paraId="21A32BDC">
            <w:pPr>
              <w:spacing w:before="78" w:after="78" w:line="380" w:lineRule="exact"/>
              <w:ind w:left="0" w:leftChars="0" w:firstLine="0" w:firstLineChars="0"/>
            </w:pPr>
          </w:p>
          <w:p w14:paraId="13DF3E49">
            <w:pPr>
              <w:spacing w:before="78" w:after="78" w:line="380" w:lineRule="exact"/>
              <w:ind w:left="0" w:leftChars="0" w:firstLine="0" w:firstLineChars="0"/>
            </w:pPr>
            <w:bookmarkStart w:id="1" w:name="_GoBack"/>
            <w:bookmarkEnd w:id="1"/>
          </w:p>
          <w:p w14:paraId="02961AA8">
            <w:pPr>
              <w:spacing w:before="78" w:after="78" w:line="380" w:lineRule="exact"/>
              <w:ind w:left="0" w:leftChars="0" w:firstLine="0" w:firstLineChars="0"/>
            </w:pPr>
            <w:r>
              <w:t>主要内容与技术指标：</w:t>
            </w:r>
          </w:p>
          <w:p w14:paraId="085C4A4B">
            <w:pPr>
              <w:spacing w:before="78" w:after="78" w:line="380" w:lineRule="exact"/>
              <w:ind w:firstLine="206" w:firstLineChars="86"/>
            </w:pPr>
            <w:r>
              <w:rPr>
                <w:rFonts w:hint="eastAsia"/>
              </w:rPr>
              <w:t>主要研究内容：</w:t>
            </w:r>
          </w:p>
          <w:p w14:paraId="325C3E4F">
            <w:pPr>
              <w:spacing w:before="78" w:after="78" w:line="380" w:lineRule="exact"/>
              <w:ind w:firstLine="446" w:firstLineChars="186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（1）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步骤级信用分配（</w:t>
            </w:r>
            <w:r>
              <w:rPr>
                <w:rFonts w:hint="default" w:ascii="Times New Roman" w:hAnsi="Times New Roman" w:eastAsia="Segoe UI" w:cs="Times New Roman"/>
                <w:kern w:val="0"/>
                <w:shd w:val="clear" w:color="auto" w:fill="FFFFFF"/>
                <w:lang w:bidi="ar"/>
              </w:rPr>
              <w:t>GiGPO anchor grouping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）与词元级信用分配（</w:t>
            </w:r>
            <w:r>
              <w:rPr>
                <w:rFonts w:hint="default" w:ascii="Times New Roman" w:hAnsi="Times New Roman" w:eastAsia="Segoe UI" w:cs="Times New Roman"/>
                <w:kern w:val="0"/>
                <w:shd w:val="clear" w:color="auto" w:fill="FFFFFF"/>
                <w:lang w:bidi="ar"/>
              </w:rPr>
              <w:t>TAPO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熵过滤/</w:t>
            </w:r>
            <w:r>
              <w:rPr>
                <w:rFonts w:hint="default" w:ascii="Times New Roman" w:hAnsi="Times New Roman" w:cs="Times New Roman"/>
                <w:kern w:val="0"/>
                <w:shd w:val="clear" w:color="auto" w:fill="FFFFFF"/>
                <w:lang w:val="en-US" w:eastAsia="zh-CN" w:bidi="ar"/>
              </w:rPr>
              <w:t>TEMPO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val="en-US" w:eastAsia="zh-CN" w:bidi="ar"/>
              </w:rPr>
              <w:t>前缀树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）在多轮</w:t>
            </w:r>
            <w:r>
              <w:rPr>
                <w:rFonts w:hint="default" w:ascii="Times New Roman" w:hAnsi="Times New Roman" w:eastAsia="Segoe UI" w:cs="Times New Roman"/>
                <w:kern w:val="0"/>
                <w:shd w:val="clear" w:color="auto" w:fill="FFFFFF"/>
                <w:lang w:bidi="ar"/>
              </w:rPr>
              <w:t>agent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训练中是否存在正交互作用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eastAsia="zh-CN" w:bidi="ar"/>
              </w:rPr>
              <w:t>，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val="en-US" w:eastAsia="zh-CN" w:bidi="ar"/>
              </w:rPr>
              <w:t>并通过置换实验验证两个粒度分别的作用</w:t>
            </w:r>
            <w:r>
              <w:rPr>
                <w:rFonts w:hint="eastAsia" w:ascii="Segoe UI" w:hAnsi="Segoe UI" w:cs="Segoe UI"/>
                <w:kern w:val="0"/>
                <w:shd w:val="clear" w:color="auto" w:fill="FFFFFF"/>
                <w:lang w:eastAsia="zh-CN" w:bidi="ar"/>
              </w:rPr>
              <w:t>。</w:t>
            </w:r>
          </w:p>
          <w:p w14:paraId="37D07368">
            <w:pPr>
              <w:spacing w:before="78" w:after="78" w:line="380" w:lineRule="exact"/>
              <w:ind w:firstLine="446" w:firstLineChars="186"/>
            </w:pPr>
            <w:r>
              <w:rPr>
                <w:rFonts w:hint="eastAsia"/>
              </w:rPr>
              <w:t>（2）</w:t>
            </w:r>
            <w:r>
              <w:rPr>
                <w:rFonts w:hint="eastAsia"/>
                <w:lang w:val="en-US" w:eastAsia="zh-CN"/>
              </w:rPr>
              <w:t>不同嵌套方式，如乘法调制和加法调制，是否存在效果差异</w:t>
            </w:r>
            <w:r>
              <w:rPr>
                <w:rFonts w:hint="eastAsia"/>
              </w:rPr>
              <w:t>。</w:t>
            </w:r>
          </w:p>
          <w:p w14:paraId="56D3C50A">
            <w:pPr>
              <w:spacing w:before="78" w:after="78" w:line="380" w:lineRule="exact"/>
              <w:ind w:firstLine="446" w:firstLineChars="186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（</w:t>
            </w:r>
            <w:r>
              <w:t>3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  <w:lang w:val="en-US" w:eastAsia="zh-CN"/>
              </w:rPr>
              <w:t>使用VeRL框架实现一个轻量化的后训练强化学习优势嵌套估计范式。</w:t>
            </w:r>
          </w:p>
          <w:p w14:paraId="71EFAEB9">
            <w:pPr>
              <w:spacing w:before="78" w:after="78" w:line="380" w:lineRule="exact"/>
              <w:ind w:left="0" w:leftChars="0" w:firstLine="0" w:firstLineChars="0"/>
            </w:pPr>
          </w:p>
        </w:tc>
      </w:tr>
      <w:tr w14:paraId="7EF4A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24" w:hRule="atLeast"/>
          <w:jc w:val="center"/>
        </w:trPr>
        <w:tc>
          <w:tcPr>
            <w:tcW w:w="8516" w:type="dxa"/>
            <w:gridSpan w:val="4"/>
          </w:tcPr>
          <w:p w14:paraId="17B403B2">
            <w:pPr>
              <w:spacing w:before="78" w:after="78" w:line="380" w:lineRule="exact"/>
              <w:ind w:firstLine="240" w:firstLineChars="100"/>
              <w:rPr>
                <w:shd w:val="clear" w:color="auto" w:fill="FFFFFF"/>
              </w:rPr>
            </w:pPr>
            <w:bookmarkStart w:id="0" w:name="OLE_LINK2"/>
            <w:r>
              <w:rPr>
                <w:rFonts w:hint="eastAsia"/>
              </w:rPr>
              <w:t>主要技术指标</w:t>
            </w:r>
            <w:bookmarkEnd w:id="0"/>
            <w:r>
              <w:rPr>
                <w:rFonts w:hint="eastAsia"/>
              </w:rPr>
              <w:t>：</w:t>
            </w:r>
          </w:p>
          <w:p w14:paraId="0380BA94">
            <w:pPr>
              <w:spacing w:before="78" w:after="78" w:line="380" w:lineRule="exact"/>
              <w:ind w:firstLine="480"/>
              <w:rPr>
                <w:shd w:val="clear" w:color="auto" w:fill="FFFFFF"/>
              </w:rPr>
            </w:pPr>
            <w:r>
              <w:t>（</w:t>
            </w:r>
            <w:r>
              <w:rPr>
                <w:rFonts w:hint="eastAsia"/>
                <w:lang w:val="en-US" w:eastAsia="zh-CN"/>
              </w:rPr>
              <w:t>1</w:t>
            </w:r>
            <w:r>
              <w:t>）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在</w:t>
            </w:r>
            <w:r>
              <w:rPr>
                <w:rFonts w:hint="default" w:ascii="Times New Roman" w:hAnsi="Times New Roman" w:eastAsia="Segoe UI" w:cs="Times New Roman"/>
                <w:kern w:val="0"/>
                <w:shd w:val="clear" w:color="auto" w:fill="FFFFFF"/>
                <w:lang w:bidi="ar"/>
              </w:rPr>
              <w:t>ALFWorld</w:t>
            </w:r>
            <w:r>
              <w:rPr>
                <w:rFonts w:hint="default" w:ascii="Times New Roman" w:hAnsi="Times New Roman" w:cs="Times New Roman"/>
                <w:kern w:val="0"/>
                <w:shd w:val="clear" w:color="auto" w:fill="FFFFFF"/>
                <w:lang w:eastAsia="zh-CN" w:bidi="ar"/>
              </w:rPr>
              <w:t>、</w:t>
            </w:r>
            <w:r>
              <w:rPr>
                <w:rFonts w:hint="default" w:ascii="Times New Roman" w:hAnsi="Times New Roman" w:cs="Times New Roman"/>
                <w:kern w:val="0"/>
                <w:shd w:val="clear" w:color="auto" w:fill="FFFFFF"/>
                <w:lang w:val="en-US" w:eastAsia="zh-CN" w:bidi="ar"/>
              </w:rPr>
              <w:t>WebShop</w:t>
            </w:r>
            <w:r>
              <w:rPr>
                <w:rFonts w:hint="default" w:ascii="Times New Roman" w:hAnsi="Times New Roman" w:eastAsia="Segoe UI" w:cs="Times New Roman"/>
                <w:kern w:val="0"/>
                <w:shd w:val="clear" w:color="auto" w:fill="FFFFFF"/>
                <w:lang w:bidi="ar"/>
              </w:rPr>
              <w:t>等</w:t>
            </w:r>
            <w:r>
              <w:rPr>
                <w:rFonts w:hint="default" w:ascii="Times New Roman" w:hAnsi="Times New Roman" w:cs="Times New Roman"/>
                <w:kern w:val="0"/>
                <w:shd w:val="clear" w:color="auto" w:fill="FFFFFF"/>
                <w:lang w:val="en-US" w:eastAsia="zh-CN" w:bidi="ar"/>
              </w:rPr>
              <w:t>benchmark</w:t>
            </w:r>
            <w:r>
              <w:rPr>
                <w:rFonts w:hint="default" w:ascii="Times New Roman" w:hAnsi="Times New Roman" w:eastAsia="Segoe UI" w:cs="Times New Roman"/>
                <w:kern w:val="0"/>
                <w:shd w:val="clear" w:color="auto" w:fill="FFFFFF"/>
                <w:lang w:bidi="ar"/>
              </w:rPr>
              <w:t>上，完整NEST</w:t>
            </w:r>
            <w:r>
              <w:rPr>
                <w:rFonts w:hint="eastAsia" w:ascii="Segoe UI" w:hAnsi="Segoe UI" w:eastAsia="Segoe UI" w:cs="Segoe UI"/>
                <w:kern w:val="0"/>
                <w:shd w:val="clear" w:color="auto" w:fill="FFFFFF"/>
                <w:lang w:bidi="ar"/>
              </w:rPr>
              <w:t>相比最强单一粒度方法成功率点的提升。</w:t>
            </w:r>
          </w:p>
          <w:p w14:paraId="12A5D54D">
            <w:pPr>
              <w:spacing w:before="78" w:after="78" w:line="380" w:lineRule="exact"/>
              <w:ind w:firstLine="480"/>
              <m:rPr/>
              <w:rPr>
                <w:rFonts w:hint="eastAsia" w:hAnsi="Cambria Math"/>
                <w:i w:val="0"/>
                <w:sz w:val="24"/>
                <w:lang w:val="en-US" w:eastAsia="zh-CN"/>
              </w:rPr>
            </w:pPr>
            <w:r>
              <w:rPr>
                <w:rFonts w:hint="eastAsia"/>
                <w:shd w:val="clear" w:color="auto" w:fill="FFFFFF"/>
              </w:rPr>
              <w:t>（</w:t>
            </w:r>
            <w:r>
              <w:rPr>
                <w:rFonts w:hint="eastAsia"/>
                <w:shd w:val="clear" w:color="auto" w:fill="FFFFFF"/>
                <w:lang w:val="en-US" w:eastAsia="zh-CN"/>
              </w:rPr>
              <w:t>2</w:t>
            </w:r>
            <w:r>
              <w:rPr>
                <w:rFonts w:hint="eastAsia"/>
                <w:shd w:val="clear" w:color="auto" w:fill="FFFFFF"/>
              </w:rPr>
              <w:t>）</w:t>
            </w:r>
            <w:r>
              <w:rPr>
                <w:rFonts w:hint="eastAsia"/>
                <w:shd w:val="clear" w:color="auto" w:fill="FFFFFF"/>
                <w:lang w:val="en-US" w:eastAsia="zh-CN"/>
              </w:rPr>
              <w:t>Step-level与Token-level的区分度，</w:t>
            </w:r>
            <m:oMath>
              <m:sSub>
                <m:sSubPr>
                  <m:ctrlPr>
                    <w:rPr>
                      <w:rFonts w:hint="default" w:ascii="Cambria Math" w:hAns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</w:rPr>
                    <m:t>Δ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sSub>
                    <m:sSubPr>
                      <m:ctrlPr>
                        <w:rPr>
                          <w:rFonts w:hint="default"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</w:rPr>
                        <m:t>step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</w:rPr>
                <m:t>=mean(</m:t>
              </m:r>
              <m:sSub>
                <m:sSubPr>
                  <m:ctrlPr>
                    <w:rPr>
                      <w:rFonts w:hint="default" w:ascii="Cambria Math" w:hAns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</w:rPr>
                    <m:t>A</m:t>
                  </m:r>
                  <m:ctrlPr>
                    <w:rPr>
                      <w:rFonts w:hint="default" w:ascii="Cambria Math" w:hAnsi="Cambria Math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</w:rPr>
                    <m:t>step</m:t>
                  </m:r>
                  <m:ctrlPr>
                    <w:rPr>
                      <w:rFonts w:hint="default" w:ascii="Cambria Math" w:hAnsi="Cambria Math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</w:rPr>
                <m:t>∣Success)−mean(</m:t>
              </m:r>
              <m:sSub>
                <m:sSubPr>
                  <m:ctrlPr>
                    <w:rPr>
                      <w:rFonts w:hint="default" w:ascii="Cambria Math" w:hAns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</w:rPr>
                    <m:t>A</m:t>
                  </m:r>
                  <m:ctrlPr>
                    <w:rPr>
                      <w:rFonts w:hint="default" w:ascii="Cambria Math" w:hAnsi="Cambria Math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</w:rPr>
                    <m:t>step</m:t>
                  </m:r>
                  <m:ctrlPr>
                    <w:rPr>
                      <w:rFonts w:hint="default" w:ascii="Cambria Math" w:hAnsi="Cambria Math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</w:rPr>
                <m:t>∣Failure)</m:t>
              </m:r>
            </m:oMath>
            <w:r>
              <w:rPr>
                <w:rFonts w:hint="eastAsia"/>
                <w:shd w:val="clear" w:color="auto" w:fill="FFFFFF"/>
                <w:lang w:val="en-US" w:eastAsia="zh-CN"/>
              </w:rPr>
              <w:t>衡量Step-level的优势能否区分成败轨迹；</w:t>
            </w:r>
            <m:oMath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D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i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4"/>
                </w:rPr>
                <m:t>=(1/T)</m:t>
              </m:r>
              <m:sSubSup>
                <m:sSubSup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∑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t=1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T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p>
              </m:sSubSup>
              <m:r>
                <m:rPr/>
                <w:rPr>
                  <w:rFonts w:hint="default" w:ascii="Cambria Math" w:hAnsi="Cambria Math" w:eastAsia="宋体"/>
                  <w:sz w:val="24"/>
                </w:rPr>
                <m:t>|Ai,t−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A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i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4"/>
                </w:rPr>
                <m:t>|/(|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A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i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4"/>
                </w:rPr>
                <m:t>|+ε)</m:t>
              </m:r>
            </m:oMath>
            <w:r>
              <m:rPr/>
              <w:rPr>
                <w:rFonts w:hint="eastAsia" w:hAnsi="Cambria Math"/>
                <w:i w:val="0"/>
                <w:sz w:val="24"/>
                <w:lang w:val="en-US" w:eastAsia="zh-CN"/>
              </w:rPr>
              <w:t>衡量Token-level的区分是有益还是冗余的。</w:t>
            </w:r>
          </w:p>
          <w:p w14:paraId="7CEED373">
            <w:pPr>
              <w:spacing w:before="78" w:after="78" w:line="380" w:lineRule="exact"/>
              <w:ind w:firstLine="480"/>
              <m:rPr/>
              <w:rPr>
                <w:rFonts w:hint="default" w:hAnsi="Cambria Math"/>
                <w:i w:val="0"/>
                <w:sz w:val="24"/>
                <w:lang w:val="en-US" w:eastAsia="zh-CN"/>
              </w:rPr>
            </w:pPr>
            <w:r>
              <m:rPr/>
              <w:rPr>
                <w:rFonts w:hint="eastAsia" w:hAnsi="Cambria Math"/>
                <w:i w:val="0"/>
                <w:sz w:val="24"/>
                <w:lang w:val="en-US" w:eastAsia="zh-CN"/>
              </w:rPr>
              <w:t>（3）两个粒度的置换实验，打乱其中一个粒度的优势估计，分析其成功率的变化，若成功率明显降低，说明该粒度的优势估计有意义，否则说明冗余。</w:t>
            </w:r>
          </w:p>
        </w:tc>
      </w:tr>
      <w:tr w14:paraId="7F71D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2" w:hRule="atLeast"/>
          <w:jc w:val="center"/>
        </w:trPr>
        <w:tc>
          <w:tcPr>
            <w:tcW w:w="8516" w:type="dxa"/>
            <w:gridSpan w:val="4"/>
          </w:tcPr>
          <w:p w14:paraId="0B805BA8">
            <w:pPr>
              <w:spacing w:before="78" w:after="78" w:line="380" w:lineRule="exact"/>
              <w:ind w:firstLine="206" w:firstLineChars="86"/>
            </w:pPr>
            <w:r>
              <w:t>进度安排</w:t>
            </w:r>
            <w:r>
              <w:rPr>
                <w:rFonts w:hint="eastAsia"/>
              </w:rPr>
              <w:t>：</w:t>
            </w:r>
          </w:p>
          <w:p w14:paraId="5648F833">
            <w:pPr>
              <w:spacing w:before="78" w:after="78" w:line="380" w:lineRule="exact"/>
              <w:ind w:firstLine="206" w:firstLineChars="86"/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年9月~202</w:t>
            </w: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年10月：阅读相关文献，了解</w:t>
            </w:r>
            <w:r>
              <w:rPr>
                <w:rFonts w:hint="eastAsia"/>
                <w:lang w:val="en-US" w:eastAsia="zh-CN"/>
              </w:rPr>
              <w:t>现有的信用分配算法</w:t>
            </w:r>
            <w:r>
              <w:rPr>
                <w:rFonts w:hint="eastAsia"/>
              </w:rPr>
              <w:t>，完成开题报告。</w:t>
            </w:r>
          </w:p>
          <w:p w14:paraId="486690E5">
            <w:pPr>
              <w:spacing w:before="78" w:after="78" w:line="380" w:lineRule="exact"/>
              <w:ind w:firstLine="206" w:firstLineChars="86"/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年11月~202</w:t>
            </w:r>
            <w:r>
              <w:rPr>
                <w:rFonts w:hint="eastAsia"/>
                <w:lang w:val="en-US" w:eastAsia="zh-CN"/>
              </w:rPr>
              <w:t>7</w:t>
            </w:r>
            <w:r>
              <w:rPr>
                <w:rFonts w:hint="eastAsia"/>
              </w:rPr>
              <w:t>年2月：</w:t>
            </w:r>
            <w:r>
              <w:rPr>
                <w:rFonts w:hint="eastAsia"/>
                <w:lang w:val="en-US" w:eastAsia="zh-CN"/>
              </w:rPr>
              <w:t>复现现有的的信用分配算法并</w:t>
            </w:r>
            <w:r>
              <w:rPr>
                <w:rFonts w:hint="eastAsia"/>
              </w:rPr>
              <w:t>完成</w:t>
            </w:r>
            <w:r>
              <w:rPr>
                <w:rFonts w:hint="eastAsia"/>
                <w:lang w:val="en-US" w:eastAsia="zh-CN"/>
              </w:rPr>
              <w:t>嵌套思想的最小可行性验证，跑通pipeline</w:t>
            </w:r>
            <w:r>
              <w:rPr>
                <w:rFonts w:hint="eastAsia"/>
              </w:rPr>
              <w:t>。</w:t>
            </w:r>
          </w:p>
          <w:p w14:paraId="21D18F43">
            <w:pPr>
              <w:spacing w:before="78" w:after="78" w:line="380" w:lineRule="exact"/>
              <w:ind w:firstLine="206" w:firstLineChars="86"/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  <w:lang w:val="en-US" w:eastAsia="zh-CN"/>
              </w:rPr>
              <w:t>7</w:t>
            </w:r>
            <w:r>
              <w:rPr>
                <w:rFonts w:hint="eastAsia"/>
              </w:rPr>
              <w:t>年3月~202</w:t>
            </w:r>
            <w:r>
              <w:rPr>
                <w:rFonts w:hint="eastAsia"/>
                <w:lang w:val="en-US" w:eastAsia="zh-CN"/>
              </w:rPr>
              <w:t>7</w:t>
            </w:r>
            <w:r>
              <w:rPr>
                <w:rFonts w:hint="eastAsia"/>
              </w:rPr>
              <w:t>年5月：</w:t>
            </w:r>
            <w:r>
              <w:rPr>
                <w:rFonts w:hint="eastAsia"/>
                <w:lang w:val="en-US" w:eastAsia="zh-CN"/>
              </w:rPr>
              <w:t>最终实现嵌套优势估计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  <w:lang w:val="en-US" w:eastAsia="zh-CN"/>
              </w:rPr>
              <w:t>对多种算法以及嵌套方式进行对比分析</w:t>
            </w:r>
            <w:r>
              <w:rPr>
                <w:rFonts w:hint="eastAsia"/>
              </w:rPr>
              <w:t>，并撰写毕业论文。</w:t>
            </w:r>
          </w:p>
        </w:tc>
      </w:tr>
      <w:tr w14:paraId="277FF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8" w:hRule="atLeast"/>
          <w:jc w:val="center"/>
        </w:trPr>
        <w:tc>
          <w:tcPr>
            <w:tcW w:w="8516" w:type="dxa"/>
            <w:gridSpan w:val="4"/>
          </w:tcPr>
          <w:p w14:paraId="4C5EBCA2">
            <w:pPr>
              <w:spacing w:before="78" w:after="78" w:line="380" w:lineRule="exact"/>
              <w:ind w:firstLine="206" w:firstLineChars="86"/>
              <w:rPr>
                <w:color w:val="A6A6A6" w:themeColor="background1" w:themeShade="A6"/>
              </w:rPr>
            </w:pPr>
            <w:r>
              <w:t>同组设计者及分工：</w:t>
            </w:r>
          </w:p>
          <w:p w14:paraId="69777993">
            <w:pPr>
              <w:spacing w:before="78" w:after="78" w:line="380" w:lineRule="exact"/>
              <w:ind w:firstLine="206" w:firstLineChars="86"/>
            </w:pPr>
            <w:r>
              <w:rPr>
                <w:rFonts w:hint="eastAsia"/>
              </w:rPr>
              <w:t>无</w:t>
            </w:r>
          </w:p>
        </w:tc>
      </w:tr>
      <w:tr w14:paraId="7B4EE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8" w:hRule="atLeast"/>
          <w:jc w:val="center"/>
        </w:trPr>
        <w:tc>
          <w:tcPr>
            <w:tcW w:w="8516" w:type="dxa"/>
            <w:gridSpan w:val="4"/>
          </w:tcPr>
          <w:p w14:paraId="7435B60A">
            <w:pPr>
              <w:spacing w:before="78" w:after="78" w:line="380" w:lineRule="exact"/>
              <w:ind w:firstLine="206" w:firstLineChars="86"/>
            </w:pPr>
          </w:p>
          <w:p w14:paraId="4B9585EF">
            <w:pPr>
              <w:spacing w:before="78" w:after="78" w:line="380" w:lineRule="exact"/>
              <w:ind w:firstLine="206" w:firstLineChars="86"/>
            </w:pPr>
          </w:p>
          <w:p w14:paraId="423FF5AB">
            <w:pPr>
              <w:spacing w:before="78" w:after="78" w:line="380" w:lineRule="exact"/>
              <w:ind w:firstLine="206" w:firstLineChars="86"/>
            </w:pPr>
          </w:p>
          <w:p w14:paraId="2AC084C7">
            <w:pPr>
              <w:spacing w:before="78" w:after="78" w:line="380" w:lineRule="exact"/>
              <w:ind w:firstLine="4080" w:firstLineChars="1700"/>
            </w:pPr>
            <w:r>
              <w:t>指导教师签字</w:t>
            </w:r>
            <w:r>
              <w:rPr>
                <w:rFonts w:hint="eastAsia"/>
              </w:rPr>
              <w:t xml:space="preserve">：       </w:t>
            </w:r>
          </w:p>
          <w:p w14:paraId="36B29019">
            <w:pPr>
              <w:spacing w:before="78" w:after="78" w:line="380" w:lineRule="exact"/>
              <w:ind w:firstLine="206" w:firstLineChars="86"/>
            </w:pPr>
            <w:r>
              <w:t xml:space="preserve">                                             </w:t>
            </w:r>
            <w:r>
              <w:rPr>
                <w:rFonts w:hint="eastAsia"/>
              </w:rPr>
              <w:t xml:space="preserve">    202</w:t>
            </w:r>
            <w:r>
              <w:t>6年</w:t>
            </w:r>
            <w:r>
              <w:rPr>
                <w:rFonts w:hint="eastAsia"/>
              </w:rPr>
              <w:t>10</w:t>
            </w:r>
            <w:r>
              <w:t>月</w:t>
            </w:r>
            <w:r>
              <w:rPr>
                <w:rFonts w:hint="eastAsia"/>
              </w:rPr>
              <w:t>1</w:t>
            </w:r>
            <w:r>
              <w:t>0日</w:t>
            </w:r>
          </w:p>
        </w:tc>
      </w:tr>
      <w:tr w14:paraId="423A8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4" w:hRule="atLeast"/>
          <w:jc w:val="center"/>
        </w:trPr>
        <w:tc>
          <w:tcPr>
            <w:tcW w:w="8516" w:type="dxa"/>
            <w:gridSpan w:val="4"/>
          </w:tcPr>
          <w:p w14:paraId="1CCEDCF8">
            <w:pPr>
              <w:spacing w:before="78" w:after="78" w:line="380" w:lineRule="exact"/>
              <w:ind w:firstLine="206" w:firstLineChars="86"/>
            </w:pPr>
            <w:r>
              <w:rPr>
                <w:rFonts w:hint="eastAsia"/>
              </w:rPr>
              <w:t>专业毕业论文（设计）工作领导小组</w:t>
            </w:r>
            <w:r>
              <w:t>意见：</w:t>
            </w:r>
          </w:p>
          <w:p w14:paraId="46FFE0F2">
            <w:pPr>
              <w:spacing w:before="78" w:after="78" w:line="380" w:lineRule="exact"/>
              <w:ind w:firstLine="240" w:firstLineChars="100"/>
            </w:pPr>
            <w:r>
              <w:rPr>
                <w:rFonts w:hint="eastAsia"/>
              </w:rPr>
              <w:t>通过</w:t>
            </w:r>
          </w:p>
          <w:p w14:paraId="61658F5C">
            <w:pPr>
              <w:spacing w:before="78" w:after="78" w:line="380" w:lineRule="exact"/>
              <w:ind w:firstLine="0" w:firstLineChars="0"/>
            </w:pPr>
          </w:p>
          <w:p w14:paraId="1039A866">
            <w:pPr>
              <w:spacing w:before="78" w:after="78" w:line="380" w:lineRule="exact"/>
              <w:ind w:firstLine="0" w:firstLineChars="0"/>
            </w:pPr>
          </w:p>
          <w:p w14:paraId="0EFDFAB8">
            <w:pPr>
              <w:spacing w:before="78" w:after="78" w:line="380" w:lineRule="exact"/>
              <w:ind w:firstLine="0" w:firstLineChars="0"/>
            </w:pPr>
          </w:p>
          <w:p w14:paraId="40881805">
            <w:pPr>
              <w:spacing w:before="78" w:after="78" w:line="380" w:lineRule="exact"/>
              <w:ind w:firstLine="0" w:firstLineChars="0"/>
            </w:pPr>
          </w:p>
          <w:p w14:paraId="400E53FB">
            <w:pPr>
              <w:spacing w:before="78" w:after="78" w:line="380" w:lineRule="exact"/>
              <w:ind w:firstLine="4080" w:firstLineChars="1700"/>
            </w:pPr>
            <w:r>
              <w:rPr>
                <w:rFonts w:hint="eastAsia"/>
              </w:rPr>
              <w:t>组长</w:t>
            </w:r>
            <w:r>
              <w:t>签字</w:t>
            </w:r>
            <w:r>
              <w:rPr>
                <w:rFonts w:hint="eastAsia"/>
              </w:rPr>
              <w:t xml:space="preserve">：            </w:t>
            </w:r>
          </w:p>
          <w:p w14:paraId="00B887B3">
            <w:pPr>
              <w:spacing w:before="78" w:after="78" w:line="380" w:lineRule="exact"/>
              <w:ind w:firstLine="311" w:firstLineChars="86"/>
            </w:pPr>
            <w:r>
              <w:rPr>
                <w:b/>
                <w:sz w:val="36"/>
              </w:rPr>
              <w:t xml:space="preserve">                               </w:t>
            </w:r>
            <w:r>
              <w:t xml:space="preserve">  </w:t>
            </w:r>
            <w:r>
              <w:rPr>
                <w:rFonts w:hint="eastAsia"/>
              </w:rPr>
              <w:t>202</w:t>
            </w:r>
            <w:r>
              <w:t>6年</w:t>
            </w:r>
            <w:r>
              <w:rPr>
                <w:rFonts w:hint="eastAsia"/>
                <w:lang w:val="en-US" w:eastAsia="zh-CN"/>
              </w:rPr>
              <w:t xml:space="preserve">  </w:t>
            </w:r>
            <w:r>
              <w:t>月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t>日</w:t>
            </w:r>
          </w:p>
        </w:tc>
      </w:tr>
    </w:tbl>
    <w:p w14:paraId="59F5CA2B">
      <w:pPr>
        <w:spacing w:before="78" w:after="78"/>
        <w:ind w:firstLine="0" w:firstLineChars="0"/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B71CCB">
    <w:pPr>
      <w:pStyle w:val="3"/>
      <w:spacing w:before="60" w:after="60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597A9F">
    <w:pPr>
      <w:pStyle w:val="3"/>
      <w:spacing w:before="60" w:after="60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05E92C">
    <w:pPr>
      <w:pStyle w:val="3"/>
      <w:spacing w:before="60" w:after="60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  <w:ind w:firstLine="480"/>
      </w:pPr>
      <w:r>
        <w:separator/>
      </w:r>
    </w:p>
  </w:footnote>
  <w:footnote w:type="continuationSeparator" w:id="1">
    <w:p>
      <w:pPr>
        <w:spacing w:before="0" w:after="0" w:line="30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02E5D1">
    <w:pPr>
      <w:pStyle w:val="4"/>
      <w:spacing w:before="60" w:after="60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35C445">
    <w:pPr>
      <w:pStyle w:val="4"/>
      <w:spacing w:before="60" w:after="60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14A9FA">
    <w:pPr>
      <w:pStyle w:val="4"/>
      <w:spacing w:before="60" w:after="60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k2ZjM0OTQwNDJlZTA4NmYyNWQwMWM3ZTVkYTU1ZjUifQ=="/>
  </w:docVars>
  <w:rsids>
    <w:rsidRoot w:val="00482978"/>
    <w:rsid w:val="000B1DC2"/>
    <w:rsid w:val="00167778"/>
    <w:rsid w:val="00194BDC"/>
    <w:rsid w:val="001C0E24"/>
    <w:rsid w:val="001C17D5"/>
    <w:rsid w:val="002A4911"/>
    <w:rsid w:val="00401246"/>
    <w:rsid w:val="00465E16"/>
    <w:rsid w:val="00467611"/>
    <w:rsid w:val="00482978"/>
    <w:rsid w:val="0048785D"/>
    <w:rsid w:val="00502756"/>
    <w:rsid w:val="005400FD"/>
    <w:rsid w:val="00542A4C"/>
    <w:rsid w:val="005826F9"/>
    <w:rsid w:val="005C3CFE"/>
    <w:rsid w:val="00680709"/>
    <w:rsid w:val="0076499C"/>
    <w:rsid w:val="007958A9"/>
    <w:rsid w:val="007E6F67"/>
    <w:rsid w:val="00811C63"/>
    <w:rsid w:val="00876B25"/>
    <w:rsid w:val="0089097B"/>
    <w:rsid w:val="008E2F34"/>
    <w:rsid w:val="0099533F"/>
    <w:rsid w:val="009C24D0"/>
    <w:rsid w:val="009E6F0F"/>
    <w:rsid w:val="00A36EDE"/>
    <w:rsid w:val="00AC01EE"/>
    <w:rsid w:val="00B36310"/>
    <w:rsid w:val="00F23326"/>
    <w:rsid w:val="00F44CF5"/>
    <w:rsid w:val="00F53A4C"/>
    <w:rsid w:val="00FF6BF9"/>
    <w:rsid w:val="0B2F76E6"/>
    <w:rsid w:val="0D7A3AD5"/>
    <w:rsid w:val="16556050"/>
    <w:rsid w:val="260D2454"/>
    <w:rsid w:val="2C543F02"/>
    <w:rsid w:val="33843014"/>
    <w:rsid w:val="3699702E"/>
    <w:rsid w:val="543430A3"/>
    <w:rsid w:val="5B811476"/>
    <w:rsid w:val="69821FCC"/>
    <w:rsid w:val="699A7F75"/>
    <w:rsid w:val="6E774BB2"/>
    <w:rsid w:val="7EF76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Lines="25" w:afterLines="25" w:line="300" w:lineRule="auto"/>
      <w:ind w:firstLine="20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0"/>
    <w:autoRedefine/>
    <w:uiPriority w:val="0"/>
    <w:pPr>
      <w:spacing w:after="120"/>
    </w:pPr>
  </w:style>
  <w:style w:type="paragraph" w:styleId="3">
    <w:name w:val="footer"/>
    <w:basedOn w:val="1"/>
    <w:link w:val="13"/>
    <w:uiPriority w:val="0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4">
    <w:name w:val="header"/>
    <w:basedOn w:val="1"/>
    <w:link w:val="12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5">
    <w:name w:val="Body Text First Indent"/>
    <w:basedOn w:val="2"/>
    <w:link w:val="11"/>
    <w:qFormat/>
    <w:uiPriority w:val="0"/>
    <w:pPr>
      <w:ind w:firstLine="498"/>
    </w:pPr>
    <w:rPr>
      <w:szCs w:val="20"/>
    </w:rPr>
  </w:style>
  <w:style w:type="character" w:styleId="8">
    <w:name w:val="Strong"/>
    <w:basedOn w:val="7"/>
    <w:qFormat/>
    <w:uiPriority w:val="0"/>
    <w:rPr>
      <w:b/>
    </w:rPr>
  </w:style>
  <w:style w:type="paragraph" w:styleId="9">
    <w:name w:val="List Paragraph"/>
    <w:basedOn w:val="1"/>
    <w:autoRedefine/>
    <w:qFormat/>
    <w:uiPriority w:val="34"/>
    <w:pPr>
      <w:spacing w:beforeLines="0" w:afterLines="0" w:line="240" w:lineRule="auto"/>
      <w:ind w:firstLine="420"/>
    </w:pPr>
    <w:rPr>
      <w:rFonts w:asciiTheme="minorHAnsi" w:hAnsiTheme="minorHAnsi" w:eastAsiaTheme="minorEastAsia" w:cstheme="minorBidi"/>
      <w:sz w:val="21"/>
      <w:szCs w:val="22"/>
    </w:rPr>
  </w:style>
  <w:style w:type="character" w:customStyle="1" w:styleId="10">
    <w:name w:val="正文文本 字符"/>
    <w:basedOn w:val="7"/>
    <w:link w:val="2"/>
    <w:qFormat/>
    <w:uiPriority w:val="0"/>
    <w:rPr>
      <w:rFonts w:ascii="Times New Roman" w:hAnsi="Times New Roman" w:eastAsia="宋体" w:cs="Times New Roman"/>
      <w:kern w:val="2"/>
      <w:sz w:val="24"/>
      <w:szCs w:val="24"/>
    </w:rPr>
  </w:style>
  <w:style w:type="character" w:customStyle="1" w:styleId="11">
    <w:name w:val="正文文本首行缩进 字符"/>
    <w:basedOn w:val="10"/>
    <w:link w:val="5"/>
    <w:uiPriority w:val="0"/>
    <w:rPr>
      <w:rFonts w:ascii="Times New Roman" w:hAnsi="Times New Roman" w:eastAsia="宋体" w:cs="Times New Roman"/>
      <w:kern w:val="2"/>
      <w:sz w:val="24"/>
      <w:szCs w:val="24"/>
    </w:rPr>
  </w:style>
  <w:style w:type="character" w:customStyle="1" w:styleId="12">
    <w:name w:val="页眉 字符"/>
    <w:basedOn w:val="7"/>
    <w:link w:val="4"/>
    <w:uiPriority w:val="0"/>
    <w:rPr>
      <w:kern w:val="2"/>
      <w:sz w:val="18"/>
      <w:szCs w:val="18"/>
    </w:rPr>
  </w:style>
  <w:style w:type="character" w:customStyle="1" w:styleId="13">
    <w:name w:val="页脚 字符"/>
    <w:basedOn w:val="7"/>
    <w:link w:val="3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840</Words>
  <Characters>1019</Characters>
  <Lines>7</Lines>
  <Paragraphs>2</Paragraphs>
  <TotalTime>13</TotalTime>
  <ScaleCrop>false</ScaleCrop>
  <LinksUpToDate>false</LinksUpToDate>
  <CharactersWithSpaces>1158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2026-09-21T04:45:00Z</dcterms:created>
  <dc:creator>HIT</dc:creator>
  <cp:lastModifiedBy>ZzZytT</cp:lastModifiedBy>
  <dcterms:modified xsi:type="dcterms:W3CDTF">2026-09-21T08:24:25Z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eyJoZGlkIjoiZTIwZTMwMzkyOWUxZTZjNDMwMDJiNWY0OTFmNjU1MjMiLCJ1c2VySWQiOiI3Nzg3NTg0MDEifQ==</vt:lpwstr>
  </property>
  <property fmtid="{D5CDD505-2E9C-101B-9397-08002B2CF9AE}" pid="4" name="ICV">
    <vt:lpwstr>033B13A91D15496D94EB82BA44C7810A_13</vt:lpwstr>
  </property>
</Properties>
</file>