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Contractor Terms</w:t>
      </w:r>
    </w:p>
    <w:p>
      <w:pPr>
        <w:pStyle w:val="Heading2"/>
      </w:pPr>
      <w:r>
        <w:t>Fees</w:t>
      </w:r>
    </w:p>
    <w:p>
      <w:r>
        <w:t>The service fee is $75 per transaction, billed monthly to the contracting party. Fees are reviewed annually and any change will be communicated in writing at least 30 days in advance.</w:t>
      </w:r>
    </w:p>
    <w:p>
      <w:pPr>
        <w:pStyle w:val="Heading2"/>
      </w:pPr>
      <w:r>
        <w:t>Scope</w:t>
      </w:r>
    </w:p>
    <w:p>
      <w:r>
        <w:t>This agreement applies to contractors only. Contractors accrue 0 vacation days annually; vacation accrual under this agreement applies only to full-time employees, not contractors. Contractors are independently responsible for their own scheduling and time off.</w:t>
      </w:r>
    </w:p>
    <w:p>
      <w:pPr>
        <w:pStyle w:val="Heading2"/>
      </w:pPr>
      <w:r>
        <w:t>Confidentiality</w:t>
      </w:r>
    </w:p>
    <w:p>
      <w:r>
        <w:t>Employees and contractors must not disclose any confidential company information to third parties without prior written consent. This obligation continues for a period of two years after the end of the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