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Eligibility</w:t>
      </w:r>
    </w:p>
    <w:p>
      <w:r>
        <w:t>All full-time employees are eligible for the remote work program after 90 days.</w:t>
      </w:r>
    </w:p>
    <w:p>
      <w:pPr>
        <w:pStyle w:val="Heading2"/>
      </w:pPr>
      <w:r>
        <w:t>Hybrid schedule</w:t>
      </w:r>
    </w:p>
    <w:p>
      <w:r>
        <w:t>Employees may work remotely up to three days per week with manager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Max remote days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Termination</w:t>
      </w:r>
    </w:p>
    <w:p>
      <w:r>
        <w:t>Either party may end the remote arrangement with two weeks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