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58F" w:rsidRDefault="0005158F" w:rsidP="0005158F">
      <w:pPr>
        <w:pStyle w:val="Title"/>
        <w:rPr>
          <w:lang w:val="en-US"/>
        </w:rPr>
      </w:pPr>
      <w:r>
        <w:rPr>
          <w:lang w:val="en-US"/>
        </w:rPr>
        <w:t>Haynes-Shockley experiment</w:t>
      </w:r>
    </w:p>
    <w:p w:rsidR="0005158F" w:rsidRDefault="0005158F" w:rsidP="0005158F">
      <w:pPr>
        <w:pStyle w:val="Subtitle"/>
        <w:rPr>
          <w:lang w:val="en-US"/>
        </w:rPr>
      </w:pPr>
      <w:r>
        <w:rPr>
          <w:lang w:val="en-US"/>
        </w:rPr>
        <w:t>Practical work P3, solid state physics</w:t>
      </w:r>
    </w:p>
    <w:p w:rsidR="0005158F" w:rsidRDefault="0005158F" w:rsidP="0005158F">
      <w:pPr>
        <w:pStyle w:val="Heading1"/>
        <w:rPr>
          <w:lang w:val="en-US"/>
        </w:rPr>
      </w:pPr>
      <w:r>
        <w:rPr>
          <w:lang w:val="en-US"/>
        </w:rPr>
        <w:t>Introduction</w:t>
      </w:r>
    </w:p>
    <w:p w:rsidR="0005158F" w:rsidRDefault="00B739AA" w:rsidP="0005158F">
      <w:pPr>
        <w:rPr>
          <w:lang w:val="en-US"/>
        </w:rPr>
      </w:pPr>
      <w:r>
        <w:rPr>
          <w:lang w:val="en-US"/>
        </w:rPr>
        <w:t>The Haynes-Shockley experiment gives us information about the mobility, diffusion and lifetimes of minority charge carriers in semiconductors. In this case we look at a p-type silica semiconductor, meaning the minorit</w:t>
      </w:r>
      <w:r w:rsidR="00352B45">
        <w:rPr>
          <w:lang w:val="en-US"/>
        </w:rPr>
        <w:t>y charge carriers are the elect</w:t>
      </w:r>
      <w:r>
        <w:rPr>
          <w:lang w:val="en-US"/>
        </w:rPr>
        <w:t>rons.</w:t>
      </w:r>
    </w:p>
    <w:p w:rsidR="00B739AA" w:rsidRDefault="00B739AA" w:rsidP="0005158F">
      <w:pPr>
        <w:rPr>
          <w:lang w:val="en-US"/>
        </w:rPr>
      </w:pPr>
      <w:r>
        <w:rPr>
          <w:lang w:val="en-US"/>
        </w:rPr>
        <w:t xml:space="preserve">Measuring these properties of the semiconductor we first apply an electric field over the semi-conductor resulting in an electron drift in the opposite direction of the electric field. To gain information an injection pulse is applied meaning the pulse will travel thru the semiconductor to a collector at a certain distance away from the injection port. </w:t>
      </w:r>
    </w:p>
    <w:p w:rsidR="00CC5956" w:rsidRDefault="00CC5956" w:rsidP="00CC5956">
      <w:pPr>
        <w:keepNext/>
        <w:jc w:val="center"/>
      </w:pPr>
      <w:r>
        <w:rPr>
          <w:noProof/>
          <w:lang w:eastAsia="nl-NL"/>
        </w:rPr>
        <w:drawing>
          <wp:inline distT="0" distB="0" distL="0" distR="0" wp14:anchorId="0C5681FB" wp14:editId="6DC52F61">
            <wp:extent cx="488632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2486025"/>
                    </a:xfrm>
                    <a:prstGeom prst="rect">
                      <a:avLst/>
                    </a:prstGeom>
                  </pic:spPr>
                </pic:pic>
              </a:graphicData>
            </a:graphic>
          </wp:inline>
        </w:drawing>
      </w:r>
    </w:p>
    <w:p w:rsidR="00CC5956" w:rsidRPr="00CC5956" w:rsidRDefault="00CC5956" w:rsidP="00CC5956">
      <w:pPr>
        <w:pStyle w:val="Caption"/>
        <w:jc w:val="center"/>
        <w:rPr>
          <w:lang w:val="en-US"/>
        </w:rPr>
      </w:pPr>
      <w:bookmarkStart w:id="0" w:name="_Ref288750762"/>
      <w:r w:rsidRPr="00CC5956">
        <w:rPr>
          <w:lang w:val="en-US"/>
        </w:rPr>
        <w:t xml:space="preserve">Figure </w:t>
      </w:r>
      <w:r>
        <w:fldChar w:fldCharType="begin"/>
      </w:r>
      <w:r w:rsidRPr="00CC5956">
        <w:rPr>
          <w:lang w:val="en-US"/>
        </w:rPr>
        <w:instrText xml:space="preserve"> SEQ Figure \* ARABIC </w:instrText>
      </w:r>
      <w:r>
        <w:fldChar w:fldCharType="separate"/>
      </w:r>
      <w:r w:rsidR="00534777">
        <w:rPr>
          <w:noProof/>
          <w:lang w:val="en-US"/>
        </w:rPr>
        <w:t>1</w:t>
      </w:r>
      <w:r>
        <w:fldChar w:fldCharType="end"/>
      </w:r>
      <w:bookmarkEnd w:id="0"/>
      <w:r w:rsidRPr="00CC5956">
        <w:rPr>
          <w:lang w:val="en-US"/>
        </w:rPr>
        <w:t xml:space="preserve"> Schematic drawing of the Haynes-Shockley experiment with a p-type</w:t>
      </w:r>
    </w:p>
    <w:p w:rsidR="00524186" w:rsidRDefault="00524186" w:rsidP="00524186">
      <w:pPr>
        <w:pStyle w:val="Heading1"/>
        <w:rPr>
          <w:lang w:val="en-US"/>
        </w:rPr>
      </w:pPr>
      <w:r>
        <w:rPr>
          <w:lang w:val="en-US"/>
        </w:rPr>
        <w:t>Practical work</w:t>
      </w:r>
    </w:p>
    <w:p w:rsidR="00524186" w:rsidRDefault="00CA541C" w:rsidP="00CA541C">
      <w:pPr>
        <w:pStyle w:val="Heading2"/>
        <w:rPr>
          <w:lang w:val="en-US"/>
        </w:rPr>
      </w:pPr>
      <w:r>
        <w:rPr>
          <w:lang w:val="en-US"/>
        </w:rPr>
        <w:t>Assignment 1</w:t>
      </w:r>
    </w:p>
    <w:p w:rsidR="00697647" w:rsidRPr="00697647" w:rsidRDefault="00697647" w:rsidP="00697647">
      <w:pPr>
        <w:pStyle w:val="Heading3"/>
        <w:rPr>
          <w:lang w:val="en-US"/>
        </w:rPr>
      </w:pPr>
      <w:r>
        <w:rPr>
          <w:lang w:val="en-US"/>
        </w:rPr>
        <w:t>Introduction</w:t>
      </w:r>
    </w:p>
    <w:p w:rsidR="00524186" w:rsidRDefault="00524186" w:rsidP="00524186">
      <w:pPr>
        <w:rPr>
          <w:lang w:val="en-US"/>
        </w:rPr>
      </w:pPr>
      <w:r>
        <w:rPr>
          <w:lang w:val="en-US"/>
        </w:rPr>
        <w:t xml:space="preserve">The </w:t>
      </w:r>
      <w:proofErr w:type="spellStart"/>
      <w:r>
        <w:rPr>
          <w:lang w:val="en-US"/>
        </w:rPr>
        <w:t>Ohmic</w:t>
      </w:r>
      <w:proofErr w:type="spellEnd"/>
      <w:r>
        <w:rPr>
          <w:lang w:val="en-US"/>
        </w:rPr>
        <w:t xml:space="preserve"> contacts on the chip do not behave ideally. Therefore it is not possible to calculate the electric field within the microstructure through simple division of the voltage between the </w:t>
      </w:r>
      <w:proofErr w:type="spellStart"/>
      <w:r>
        <w:rPr>
          <w:lang w:val="en-US"/>
        </w:rPr>
        <w:t>Ohmic</w:t>
      </w:r>
      <w:proofErr w:type="spellEnd"/>
      <w:r>
        <w:rPr>
          <w:lang w:val="en-US"/>
        </w:rPr>
        <w:t xml:space="preserve"> contacts by the distance between them.</w:t>
      </w:r>
    </w:p>
    <w:p w:rsidR="00524186" w:rsidRDefault="00524186" w:rsidP="00524186">
      <w:pPr>
        <w:rPr>
          <w:lang w:val="en-US"/>
        </w:rPr>
      </w:pPr>
      <w:r>
        <w:rPr>
          <w:lang w:val="en-US"/>
        </w:rPr>
        <w:t>In this assignment we measure</w:t>
      </w:r>
      <w:r w:rsidR="007747FC">
        <w:rPr>
          <w:lang w:val="en-US"/>
        </w:rPr>
        <w:t>d</w:t>
      </w:r>
      <w:r>
        <w:rPr>
          <w:lang w:val="en-US"/>
        </w:rPr>
        <w:t xml:space="preserve"> the internal potential to make a gauge-curve for the electric field. We assume</w:t>
      </w:r>
      <w:r w:rsidR="007747FC">
        <w:rPr>
          <w:lang w:val="en-US"/>
        </w:rPr>
        <w:t>d</w:t>
      </w:r>
      <w:r>
        <w:rPr>
          <w:lang w:val="en-US"/>
        </w:rPr>
        <w:t xml:space="preserve"> the potential in the chip between the emitter and the collectors to behave linearly, i.e.</w:t>
      </w:r>
      <w:r w:rsidR="007747FC">
        <w:rPr>
          <w:lang w:val="en-US"/>
        </w:rPr>
        <w:t xml:space="preserve"> the electric field is constant. T</w:t>
      </w:r>
      <w:r>
        <w:rPr>
          <w:lang w:val="en-US"/>
        </w:rPr>
        <w:t>he only quantity we need</w:t>
      </w:r>
      <w:r w:rsidR="007747FC">
        <w:rPr>
          <w:lang w:val="en-US"/>
        </w:rPr>
        <w:t>ed</w:t>
      </w:r>
      <w:r>
        <w:rPr>
          <w:lang w:val="en-US"/>
        </w:rPr>
        <w:t xml:space="preserve"> to measure is the difference in internal potential between emitter and the last collector.</w:t>
      </w:r>
    </w:p>
    <w:p w:rsidR="00CA541C" w:rsidRDefault="00CA541C" w:rsidP="00524186">
      <w:pPr>
        <w:rPr>
          <w:lang w:val="en-US"/>
        </w:rPr>
      </w:pPr>
      <w:r>
        <w:rPr>
          <w:lang w:val="en-US"/>
        </w:rPr>
        <w:t xml:space="preserve">Meaning an injection pulse with a frequency of </w:t>
      </w:r>
      <w:proofErr w:type="gramStart"/>
      <w:r>
        <w:rPr>
          <w:lang w:val="en-US"/>
        </w:rPr>
        <w:t>10kHz</w:t>
      </w:r>
      <w:proofErr w:type="gramEnd"/>
      <w:r>
        <w:rPr>
          <w:lang w:val="en-US"/>
        </w:rPr>
        <w:t xml:space="preserve"> is applied </w:t>
      </w:r>
    </w:p>
    <w:p w:rsidR="00697647" w:rsidRDefault="00697647" w:rsidP="00697647">
      <w:pPr>
        <w:pStyle w:val="Heading3"/>
        <w:rPr>
          <w:lang w:val="en-US"/>
        </w:rPr>
      </w:pPr>
      <w:r>
        <w:rPr>
          <w:lang w:val="en-US"/>
        </w:rPr>
        <w:lastRenderedPageBreak/>
        <w:t>Experimental method</w:t>
      </w:r>
    </w:p>
    <w:p w:rsidR="00697647" w:rsidRDefault="00BB22C5" w:rsidP="00697647">
      <w:pPr>
        <w:rPr>
          <w:lang w:val="en-US"/>
        </w:rPr>
      </w:pPr>
      <w:r>
        <w:rPr>
          <w:lang w:val="en-US"/>
        </w:rPr>
        <w:t xml:space="preserve">To determine the behavior of the </w:t>
      </w:r>
      <w:proofErr w:type="spellStart"/>
      <w:r>
        <w:rPr>
          <w:lang w:val="en-US"/>
        </w:rPr>
        <w:t>Ohmic</w:t>
      </w:r>
      <w:proofErr w:type="spellEnd"/>
      <w:r>
        <w:rPr>
          <w:lang w:val="en-US"/>
        </w:rPr>
        <w:t xml:space="preserve"> contacts first a potential is set over the semiconductor and kept constant during measurement.</w:t>
      </w:r>
      <w:r w:rsidR="00BD3C02">
        <w:rPr>
          <w:lang w:val="en-US"/>
        </w:rPr>
        <w:t xml:space="preserve"> After this the injection pulse voltage is altered and the resultant differential probe voltage is measured. This is done using an oscilloscope which averages the measurements to reduce noise and determines the peaks in terms of voltage.</w:t>
      </w:r>
    </w:p>
    <w:p w:rsidR="00CA541C" w:rsidRDefault="00CA541C" w:rsidP="00CA541C">
      <w:pPr>
        <w:pStyle w:val="Heading2"/>
        <w:rPr>
          <w:lang w:val="en-US"/>
        </w:rPr>
      </w:pPr>
      <w:r>
        <w:rPr>
          <w:lang w:val="en-US"/>
        </w:rPr>
        <w:t>Assignment 2</w:t>
      </w:r>
    </w:p>
    <w:p w:rsidR="00A22BDE" w:rsidRDefault="00A22BDE" w:rsidP="00A22BDE">
      <w:pPr>
        <w:rPr>
          <w:lang w:val="en-US"/>
        </w:rPr>
      </w:pPr>
      <w:r>
        <w:rPr>
          <w:lang w:val="en-US"/>
        </w:rPr>
        <w:t xml:space="preserve">The setup used for assignment 2 is schematically indicated in </w:t>
      </w:r>
      <w:r>
        <w:rPr>
          <w:lang w:val="en-US"/>
        </w:rPr>
        <w:fldChar w:fldCharType="begin"/>
      </w:r>
      <w:r>
        <w:rPr>
          <w:lang w:val="en-US"/>
        </w:rPr>
        <w:instrText xml:space="preserve"> REF _Ref288750762 \h </w:instrText>
      </w:r>
      <w:r>
        <w:rPr>
          <w:lang w:val="en-US"/>
        </w:rPr>
      </w:r>
      <w:r>
        <w:rPr>
          <w:lang w:val="en-US"/>
        </w:rPr>
        <w:fldChar w:fldCharType="separate"/>
      </w:r>
      <w:r w:rsidR="00534777" w:rsidRPr="00CC5956">
        <w:rPr>
          <w:lang w:val="en-US"/>
        </w:rPr>
        <w:t xml:space="preserve">Figure </w:t>
      </w:r>
      <w:r w:rsidR="00534777">
        <w:rPr>
          <w:noProof/>
          <w:lang w:val="en-US"/>
        </w:rPr>
        <w:t>1</w:t>
      </w:r>
      <w:r>
        <w:rPr>
          <w:lang w:val="en-US"/>
        </w:rPr>
        <w:fldChar w:fldCharType="end"/>
      </w:r>
      <w:r>
        <w:rPr>
          <w:lang w:val="en-US"/>
        </w:rPr>
        <w:t>. Th</w:t>
      </w:r>
      <w:r w:rsidR="005175B3">
        <w:rPr>
          <w:lang w:val="en-US"/>
        </w:rPr>
        <w:t>e electric field was set at -10</w:t>
      </w:r>
      <w:r>
        <w:rPr>
          <w:lang w:val="en-US"/>
        </w:rPr>
        <w:t>V, the injection peak was set sufficiently high at a frequency of about 3MHz.</w:t>
      </w:r>
    </w:p>
    <w:p w:rsidR="00A22BDE" w:rsidRPr="00A22BDE" w:rsidRDefault="00A22BDE" w:rsidP="00A22BDE">
      <w:pPr>
        <w:rPr>
          <w:lang w:val="en-US"/>
        </w:rPr>
      </w:pPr>
      <w:r>
        <w:rPr>
          <w:lang w:val="en-US"/>
        </w:rPr>
        <w:t xml:space="preserve">The injection pulse voltage was then varied and the difference in time between injection pulse and </w:t>
      </w:r>
      <w:r w:rsidR="00F37E75">
        <w:rPr>
          <w:lang w:val="en-US"/>
        </w:rPr>
        <w:t>arrival at the collector was measured using an oscilloscope.</w:t>
      </w:r>
    </w:p>
    <w:p w:rsidR="00CA541C" w:rsidRDefault="003B3667" w:rsidP="00CF6052">
      <w:pPr>
        <w:pStyle w:val="Heading1"/>
        <w:rPr>
          <w:lang w:val="en-US"/>
        </w:rPr>
      </w:pPr>
      <w:r>
        <w:rPr>
          <w:lang w:val="en-US"/>
        </w:rPr>
        <w:t>Results</w:t>
      </w:r>
      <w:r w:rsidR="00035DB3">
        <w:rPr>
          <w:lang w:val="en-US"/>
        </w:rPr>
        <w:t xml:space="preserve"> &amp; Discussion</w:t>
      </w:r>
    </w:p>
    <w:p w:rsidR="00B66127" w:rsidRPr="00B66127" w:rsidRDefault="00B66127" w:rsidP="00CF6052">
      <w:pPr>
        <w:pStyle w:val="Heading2"/>
        <w:rPr>
          <w:lang w:val="en-US"/>
        </w:rPr>
      </w:pPr>
      <w:bookmarkStart w:id="1" w:name="_Ref288744619"/>
      <w:r>
        <w:rPr>
          <w:lang w:val="en-US"/>
        </w:rPr>
        <w:t>Assignment 1</w:t>
      </w:r>
      <w:bookmarkEnd w:id="1"/>
      <w:r w:rsidR="00C44310">
        <w:rPr>
          <w:lang w:val="en-US"/>
        </w:rPr>
        <w:t>: Electric field</w:t>
      </w:r>
    </w:p>
    <w:p w:rsidR="00E03BEC" w:rsidRDefault="00115D74" w:rsidP="00E03BEC">
      <w:pPr>
        <w:keepNext/>
        <w:jc w:val="center"/>
      </w:pPr>
      <w:r>
        <w:rPr>
          <w:noProof/>
          <w:lang w:eastAsia="nl-NL"/>
        </w:rPr>
        <w:drawing>
          <wp:inline distT="0" distB="0" distL="0" distR="0" wp14:anchorId="415DAFF3" wp14:editId="4233C56F">
            <wp:extent cx="4132053" cy="2147977"/>
            <wp:effectExtent l="0" t="0" r="2095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3667" w:rsidRDefault="00E03BEC" w:rsidP="00E03BEC">
      <w:pPr>
        <w:pStyle w:val="Caption"/>
        <w:jc w:val="center"/>
        <w:rPr>
          <w:lang w:val="en-US"/>
        </w:rPr>
      </w:pPr>
      <w:bookmarkStart w:id="2" w:name="_Ref288467824"/>
      <w:r>
        <w:t xml:space="preserve">Figure </w:t>
      </w:r>
      <w:r w:rsidR="002C0201">
        <w:fldChar w:fldCharType="begin"/>
      </w:r>
      <w:r w:rsidR="002C0201">
        <w:instrText xml:space="preserve"> SEQ Figure \* ARABIC </w:instrText>
      </w:r>
      <w:r w:rsidR="002C0201">
        <w:fldChar w:fldCharType="separate"/>
      </w:r>
      <w:r w:rsidR="00534777">
        <w:rPr>
          <w:noProof/>
        </w:rPr>
        <w:t>2</w:t>
      </w:r>
      <w:r w:rsidR="002C0201">
        <w:rPr>
          <w:noProof/>
        </w:rPr>
        <w:fldChar w:fldCharType="end"/>
      </w:r>
      <w:bookmarkEnd w:id="2"/>
      <w:r>
        <w:t xml:space="preserve"> Internal potential, 7.5V</w:t>
      </w:r>
    </w:p>
    <w:p w:rsidR="00E03BEC" w:rsidRDefault="00115D74" w:rsidP="00E03BEC">
      <w:pPr>
        <w:keepNext/>
        <w:jc w:val="center"/>
      </w:pPr>
      <w:r>
        <w:rPr>
          <w:noProof/>
          <w:lang w:eastAsia="nl-NL"/>
        </w:rPr>
        <w:drawing>
          <wp:inline distT="0" distB="0" distL="0" distR="0" wp14:anchorId="572A0A17" wp14:editId="02D1FB3C">
            <wp:extent cx="4278702" cy="2260120"/>
            <wp:effectExtent l="0" t="0" r="26670" b="260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5D74" w:rsidRDefault="00E03BEC" w:rsidP="00E03BEC">
      <w:pPr>
        <w:pStyle w:val="Caption"/>
        <w:jc w:val="center"/>
        <w:rPr>
          <w:lang w:val="en-US"/>
        </w:rPr>
      </w:pPr>
      <w:bookmarkStart w:id="3" w:name="_Ref288467826"/>
      <w:r>
        <w:t xml:space="preserve">Figure </w:t>
      </w:r>
      <w:r w:rsidR="002C0201">
        <w:fldChar w:fldCharType="begin"/>
      </w:r>
      <w:r w:rsidR="002C0201">
        <w:instrText xml:space="preserve"> SEQ Figure \* ARABIC </w:instrText>
      </w:r>
      <w:r w:rsidR="002C0201">
        <w:fldChar w:fldCharType="separate"/>
      </w:r>
      <w:r w:rsidR="00534777">
        <w:rPr>
          <w:noProof/>
        </w:rPr>
        <w:t>3</w:t>
      </w:r>
      <w:r w:rsidR="002C0201">
        <w:rPr>
          <w:noProof/>
        </w:rPr>
        <w:fldChar w:fldCharType="end"/>
      </w:r>
      <w:bookmarkEnd w:id="3"/>
      <w:r>
        <w:t xml:space="preserve"> Internal potential, 10V</w:t>
      </w:r>
    </w:p>
    <w:p w:rsidR="00E03BEC" w:rsidRDefault="00115D74" w:rsidP="00E03BEC">
      <w:pPr>
        <w:keepNext/>
        <w:jc w:val="center"/>
      </w:pPr>
      <w:r>
        <w:rPr>
          <w:noProof/>
          <w:lang w:eastAsia="nl-NL"/>
        </w:rPr>
        <w:lastRenderedPageBreak/>
        <w:drawing>
          <wp:inline distT="0" distB="0" distL="0" distR="0" wp14:anchorId="4C9FEF55" wp14:editId="2EAD751C">
            <wp:extent cx="4339086" cy="2346385"/>
            <wp:effectExtent l="0" t="0" r="2349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42C22" w:rsidRPr="003E02C5" w:rsidRDefault="00E03BEC" w:rsidP="00E03BEC">
      <w:pPr>
        <w:pStyle w:val="Caption"/>
        <w:jc w:val="center"/>
        <w:rPr>
          <w:lang w:val="en-US"/>
        </w:rPr>
      </w:pPr>
      <w:bookmarkStart w:id="4" w:name="_Ref288465724"/>
      <w:r w:rsidRPr="003E02C5">
        <w:rPr>
          <w:lang w:val="en-US"/>
        </w:rPr>
        <w:t xml:space="preserve">Figure </w:t>
      </w:r>
      <w:r w:rsidR="0051027B">
        <w:fldChar w:fldCharType="begin"/>
      </w:r>
      <w:r w:rsidR="0051027B" w:rsidRPr="003E02C5">
        <w:rPr>
          <w:lang w:val="en-US"/>
        </w:rPr>
        <w:instrText xml:space="preserve"> SEQ Figure \* ARABIC </w:instrText>
      </w:r>
      <w:r w:rsidR="0051027B">
        <w:fldChar w:fldCharType="separate"/>
      </w:r>
      <w:r w:rsidR="00534777">
        <w:rPr>
          <w:noProof/>
          <w:lang w:val="en-US"/>
        </w:rPr>
        <w:t>4</w:t>
      </w:r>
      <w:r w:rsidR="0051027B">
        <w:rPr>
          <w:noProof/>
        </w:rPr>
        <w:fldChar w:fldCharType="end"/>
      </w:r>
      <w:bookmarkEnd w:id="4"/>
      <w:r w:rsidRPr="003E02C5">
        <w:rPr>
          <w:lang w:val="en-US"/>
        </w:rPr>
        <w:t xml:space="preserve"> Internal potential, 12.5V</w:t>
      </w:r>
    </w:p>
    <w:p w:rsidR="00F312CC" w:rsidRDefault="00F312CC">
      <w:pPr>
        <w:rPr>
          <w:lang w:val="en-US"/>
        </w:rPr>
      </w:pPr>
    </w:p>
    <w:p w:rsidR="00F312CC" w:rsidRDefault="00F312CC">
      <w:pPr>
        <w:rPr>
          <w:lang w:val="en-US"/>
        </w:rPr>
      </w:pPr>
      <w:r>
        <w:rPr>
          <w:lang w:val="en-US"/>
        </w:rPr>
        <w:fldChar w:fldCharType="begin"/>
      </w:r>
      <w:r>
        <w:rPr>
          <w:lang w:val="en-US"/>
        </w:rPr>
        <w:instrText xml:space="preserve"> REF _Ref288467824 \h </w:instrText>
      </w:r>
      <w:r>
        <w:rPr>
          <w:lang w:val="en-US"/>
        </w:rPr>
      </w:r>
      <w:r>
        <w:rPr>
          <w:lang w:val="en-US"/>
        </w:rPr>
        <w:fldChar w:fldCharType="separate"/>
      </w:r>
      <w:r w:rsidR="00534777">
        <w:t xml:space="preserve">Figure </w:t>
      </w:r>
      <w:r w:rsidR="00534777">
        <w:rPr>
          <w:noProof/>
        </w:rPr>
        <w:t>2</w:t>
      </w:r>
      <w:r>
        <w:rPr>
          <w:lang w:val="en-US"/>
        </w:rPr>
        <w:fldChar w:fldCharType="end"/>
      </w:r>
      <w:r>
        <w:rPr>
          <w:lang w:val="en-US"/>
        </w:rPr>
        <w:t xml:space="preserve">, </w:t>
      </w:r>
      <w:r>
        <w:rPr>
          <w:lang w:val="en-US"/>
        </w:rPr>
        <w:fldChar w:fldCharType="begin"/>
      </w:r>
      <w:r>
        <w:rPr>
          <w:lang w:val="en-US"/>
        </w:rPr>
        <w:instrText xml:space="preserve"> REF _Ref288467826 \h </w:instrText>
      </w:r>
      <w:r>
        <w:rPr>
          <w:lang w:val="en-US"/>
        </w:rPr>
      </w:r>
      <w:r>
        <w:rPr>
          <w:lang w:val="en-US"/>
        </w:rPr>
        <w:fldChar w:fldCharType="separate"/>
      </w:r>
      <w:r w:rsidR="00534777">
        <w:t xml:space="preserve">Figure </w:t>
      </w:r>
      <w:r w:rsidR="00534777">
        <w:rPr>
          <w:noProof/>
        </w:rPr>
        <w:t>3</w:t>
      </w:r>
      <w:r>
        <w:rPr>
          <w:lang w:val="en-US"/>
        </w:rPr>
        <w:fldChar w:fldCharType="end"/>
      </w:r>
      <w:r>
        <w:rPr>
          <w:lang w:val="en-US"/>
        </w:rPr>
        <w:t xml:space="preserve"> and </w:t>
      </w:r>
      <w:r>
        <w:rPr>
          <w:lang w:val="en-US"/>
        </w:rPr>
        <w:fldChar w:fldCharType="begin"/>
      </w:r>
      <w:r>
        <w:rPr>
          <w:lang w:val="en-US"/>
        </w:rPr>
        <w:instrText xml:space="preserve"> REF _Ref288465724 \h </w:instrText>
      </w:r>
      <w:r>
        <w:rPr>
          <w:lang w:val="en-US"/>
        </w:rPr>
      </w:r>
      <w:r>
        <w:rPr>
          <w:lang w:val="en-US"/>
        </w:rPr>
        <w:fldChar w:fldCharType="separate"/>
      </w:r>
      <w:r w:rsidR="00534777" w:rsidRPr="003E02C5">
        <w:rPr>
          <w:lang w:val="en-US"/>
        </w:rPr>
        <w:t xml:space="preserve">Figure </w:t>
      </w:r>
      <w:r w:rsidR="00534777">
        <w:rPr>
          <w:noProof/>
          <w:lang w:val="en-US"/>
        </w:rPr>
        <w:t>4</w:t>
      </w:r>
      <w:r>
        <w:rPr>
          <w:lang w:val="en-US"/>
        </w:rPr>
        <w:fldChar w:fldCharType="end"/>
      </w:r>
      <w:r>
        <w:rPr>
          <w:lang w:val="en-US"/>
        </w:rPr>
        <w:t xml:space="preserve"> depict the linear part of the internal potential measured at a steady electric field but varying the input voltage. During measurements it became clear that the setting of voltage and adjusting the offset are of great influence on the precision of the measurement. Only slight changes result in gr</w:t>
      </w:r>
      <w:r w:rsidR="00CD11C5">
        <w:rPr>
          <w:lang w:val="en-US"/>
        </w:rPr>
        <w:t>eat differences in measurements enlarging the possibilities of errors in measurements significantly.</w:t>
      </w:r>
    </w:p>
    <w:p w:rsidR="009352DD" w:rsidRDefault="00E02FFC">
      <w:pPr>
        <w:rPr>
          <w:lang w:val="en-US"/>
        </w:rPr>
      </w:pPr>
      <w:r w:rsidRPr="00E02FFC">
        <w:rPr>
          <w:lang w:val="en-US"/>
        </w:rPr>
        <w:t>Since we want the difference in in</w:t>
      </w:r>
      <w:r>
        <w:rPr>
          <w:lang w:val="en-US"/>
        </w:rPr>
        <w:t>ternal potential</w:t>
      </w:r>
      <w:r w:rsidR="003E02C5">
        <w:rPr>
          <w:lang w:val="en-US"/>
        </w:rPr>
        <w:t xml:space="preserve"> (</w:t>
      </w:r>
      <w:r w:rsidR="003E02C5">
        <w:rPr>
          <w:rFonts w:cstheme="minorHAnsi"/>
          <w:lang w:val="en-US"/>
        </w:rPr>
        <w:t>Δ</w:t>
      </w:r>
      <w:r w:rsidR="003E02C5">
        <w:rPr>
          <w:lang w:val="en-US"/>
        </w:rPr>
        <w:t>V)</w:t>
      </w:r>
      <w:r>
        <w:rPr>
          <w:lang w:val="en-US"/>
        </w:rPr>
        <w:t xml:space="preserve"> between the </w:t>
      </w:r>
      <w:r w:rsidR="00EC1605">
        <w:rPr>
          <w:lang w:val="en-US"/>
        </w:rPr>
        <w:t>emitter</w:t>
      </w:r>
      <w:r>
        <w:rPr>
          <w:lang w:val="en-US"/>
        </w:rPr>
        <w:t>-</w:t>
      </w:r>
      <w:r w:rsidR="00EC1605">
        <w:rPr>
          <w:lang w:val="en-US"/>
        </w:rPr>
        <w:t xml:space="preserve">emitter </w:t>
      </w:r>
      <w:r>
        <w:rPr>
          <w:lang w:val="en-US"/>
        </w:rPr>
        <w:t>and Collector-Collector measurements we need to know the difference in the x-direction. Ideally the linear part of the measurement will yield exactly the same slope. However in practice this is not the case</w:t>
      </w:r>
      <w:r w:rsidR="00187867">
        <w:rPr>
          <w:lang w:val="en-US"/>
        </w:rPr>
        <w:t xml:space="preserve"> (see </w:t>
      </w:r>
      <w:r w:rsidR="00187867">
        <w:rPr>
          <w:lang w:val="en-US"/>
        </w:rPr>
        <w:fldChar w:fldCharType="begin"/>
      </w:r>
      <w:r w:rsidR="00187867">
        <w:rPr>
          <w:lang w:val="en-US"/>
        </w:rPr>
        <w:instrText xml:space="preserve"> REF _Ref288467824 \h </w:instrText>
      </w:r>
      <w:r w:rsidR="00187867">
        <w:rPr>
          <w:lang w:val="en-US"/>
        </w:rPr>
      </w:r>
      <w:r w:rsidR="00187867">
        <w:rPr>
          <w:lang w:val="en-US"/>
        </w:rPr>
        <w:fldChar w:fldCharType="separate"/>
      </w:r>
      <w:r w:rsidR="00534777">
        <w:t xml:space="preserve">Figure </w:t>
      </w:r>
      <w:r w:rsidR="00534777">
        <w:rPr>
          <w:noProof/>
        </w:rPr>
        <w:t>2</w:t>
      </w:r>
      <w:r w:rsidR="00187867">
        <w:rPr>
          <w:lang w:val="en-US"/>
        </w:rPr>
        <w:fldChar w:fldCharType="end"/>
      </w:r>
      <w:r w:rsidR="00187867">
        <w:rPr>
          <w:lang w:val="en-US"/>
        </w:rPr>
        <w:t xml:space="preserve">, </w:t>
      </w:r>
      <w:r w:rsidR="00187867">
        <w:rPr>
          <w:lang w:val="en-US"/>
        </w:rPr>
        <w:fldChar w:fldCharType="begin"/>
      </w:r>
      <w:r w:rsidR="00187867">
        <w:rPr>
          <w:lang w:val="en-US"/>
        </w:rPr>
        <w:instrText xml:space="preserve"> REF _Ref288467826 \h </w:instrText>
      </w:r>
      <w:r w:rsidR="00187867">
        <w:rPr>
          <w:lang w:val="en-US"/>
        </w:rPr>
      </w:r>
      <w:r w:rsidR="00187867">
        <w:rPr>
          <w:lang w:val="en-US"/>
        </w:rPr>
        <w:fldChar w:fldCharType="separate"/>
      </w:r>
      <w:r w:rsidR="00534777">
        <w:t xml:space="preserve">Figure </w:t>
      </w:r>
      <w:r w:rsidR="00534777">
        <w:rPr>
          <w:noProof/>
        </w:rPr>
        <w:t>3</w:t>
      </w:r>
      <w:r w:rsidR="00187867">
        <w:rPr>
          <w:lang w:val="en-US"/>
        </w:rPr>
        <w:fldChar w:fldCharType="end"/>
      </w:r>
      <w:r w:rsidR="00187867">
        <w:rPr>
          <w:lang w:val="en-US"/>
        </w:rPr>
        <w:t xml:space="preserve"> and </w:t>
      </w:r>
      <w:r w:rsidR="00187867">
        <w:rPr>
          <w:lang w:val="en-US"/>
        </w:rPr>
        <w:fldChar w:fldCharType="begin"/>
      </w:r>
      <w:r w:rsidR="00187867">
        <w:rPr>
          <w:lang w:val="en-US"/>
        </w:rPr>
        <w:instrText xml:space="preserve"> REF _Ref288465724 \h </w:instrText>
      </w:r>
      <w:r w:rsidR="00187867">
        <w:rPr>
          <w:lang w:val="en-US"/>
        </w:rPr>
      </w:r>
      <w:r w:rsidR="00187867">
        <w:rPr>
          <w:lang w:val="en-US"/>
        </w:rPr>
        <w:fldChar w:fldCharType="separate"/>
      </w:r>
      <w:r w:rsidR="00534777" w:rsidRPr="003E02C5">
        <w:rPr>
          <w:lang w:val="en-US"/>
        </w:rPr>
        <w:t xml:space="preserve">Figure </w:t>
      </w:r>
      <w:r w:rsidR="00534777">
        <w:rPr>
          <w:noProof/>
          <w:lang w:val="en-US"/>
        </w:rPr>
        <w:t>4</w:t>
      </w:r>
      <w:r w:rsidR="00187867">
        <w:rPr>
          <w:lang w:val="en-US"/>
        </w:rPr>
        <w:fldChar w:fldCharType="end"/>
      </w:r>
      <w:r w:rsidR="00187867">
        <w:rPr>
          <w:lang w:val="en-US"/>
        </w:rPr>
        <w:t>)</w:t>
      </w:r>
      <w:r>
        <w:rPr>
          <w:lang w:val="en-US"/>
        </w:rPr>
        <w:t>, to correct for this we averaged the slope between the two measurements and corrected the second te</w:t>
      </w:r>
      <w:r w:rsidR="00492A10">
        <w:rPr>
          <w:lang w:val="en-US"/>
        </w:rPr>
        <w:t xml:space="preserve">rm. Yielding the data depicted in </w:t>
      </w:r>
      <w:r w:rsidR="00DA24E0">
        <w:rPr>
          <w:lang w:val="en-US"/>
        </w:rPr>
        <w:fldChar w:fldCharType="begin"/>
      </w:r>
      <w:r w:rsidR="00DA24E0">
        <w:rPr>
          <w:lang w:val="en-US"/>
        </w:rPr>
        <w:instrText xml:space="preserve"> REF _Ref288467802 \h </w:instrText>
      </w:r>
      <w:r w:rsidR="00DA24E0">
        <w:rPr>
          <w:lang w:val="en-US"/>
        </w:rPr>
      </w:r>
      <w:r w:rsidR="00DA24E0">
        <w:rPr>
          <w:lang w:val="en-US"/>
        </w:rPr>
        <w:fldChar w:fldCharType="separate"/>
      </w:r>
      <w:r w:rsidR="00534777">
        <w:t xml:space="preserve">Table </w:t>
      </w:r>
      <w:r w:rsidR="00534777">
        <w:rPr>
          <w:noProof/>
        </w:rPr>
        <w:t>1</w:t>
      </w:r>
      <w:r w:rsidR="00DA24E0">
        <w:rPr>
          <w:lang w:val="en-US"/>
        </w:rPr>
        <w:fldChar w:fldCharType="end"/>
      </w:r>
      <w:r w:rsidR="006B2224">
        <w:rPr>
          <w:lang w:val="en-US"/>
        </w:rPr>
        <w:t xml:space="preserve"> where C-C the collector-collector and E-E the emitt</w:t>
      </w:r>
      <w:r w:rsidR="00EC1605">
        <w:rPr>
          <w:lang w:val="en-US"/>
        </w:rPr>
        <w:t>e</w:t>
      </w:r>
      <w:r w:rsidR="006B2224">
        <w:rPr>
          <w:lang w:val="en-US"/>
        </w:rPr>
        <w:t>r-</w:t>
      </w:r>
      <w:r w:rsidR="0015632E">
        <w:rPr>
          <w:lang w:val="en-US"/>
        </w:rPr>
        <w:t>emitter</w:t>
      </w:r>
      <w:r w:rsidR="006B2224">
        <w:rPr>
          <w:lang w:val="en-US"/>
        </w:rPr>
        <w:t xml:space="preserve"> measurements are</w:t>
      </w:r>
      <w:r w:rsidR="00A04459">
        <w:rPr>
          <w:lang w:val="en-US"/>
        </w:rPr>
        <w:t>.</w:t>
      </w:r>
    </w:p>
    <w:p w:rsidR="005E6E1B" w:rsidRDefault="005E6E1B">
      <w:pPr>
        <w:rPr>
          <w:lang w:val="en-US"/>
        </w:rPr>
      </w:pPr>
      <w:r>
        <w:rPr>
          <w:lang w:val="en-US"/>
        </w:rPr>
        <w:t xml:space="preserve">From these results the electric field could be determined; this was done by dividing the internal potential by the distance between the two contacts, i.e. </w:t>
      </w:r>
      <w:r>
        <w:rPr>
          <w:rFonts w:eastAsiaTheme="minorEastAsia"/>
          <w:lang w:val="en-GB"/>
        </w:rPr>
        <w:t>900µm.</w:t>
      </w:r>
    </w:p>
    <w:p w:rsidR="00DA24E0" w:rsidRDefault="00DA24E0" w:rsidP="00DA24E0">
      <w:pPr>
        <w:pStyle w:val="Caption"/>
        <w:keepNext/>
      </w:pPr>
      <w:bookmarkStart w:id="5" w:name="_Ref288467802"/>
      <w:r>
        <w:t xml:space="preserve">Table </w:t>
      </w:r>
      <w:r w:rsidR="002C0201">
        <w:fldChar w:fldCharType="begin"/>
      </w:r>
      <w:r w:rsidR="002C0201">
        <w:instrText xml:space="preserve"> SEQ Table \* ARABIC </w:instrText>
      </w:r>
      <w:r w:rsidR="002C0201">
        <w:fldChar w:fldCharType="separate"/>
      </w:r>
      <w:r w:rsidR="00534777">
        <w:rPr>
          <w:noProof/>
        </w:rPr>
        <w:t>1</w:t>
      </w:r>
      <w:r w:rsidR="002C0201">
        <w:rPr>
          <w:noProof/>
        </w:rPr>
        <w:fldChar w:fldCharType="end"/>
      </w:r>
      <w:bookmarkEnd w:id="5"/>
      <w:r>
        <w:t xml:space="preserve"> Internal potential</w:t>
      </w:r>
    </w:p>
    <w:tbl>
      <w:tblPr>
        <w:tblStyle w:val="TableGrid"/>
        <w:tblW w:w="0" w:type="auto"/>
        <w:tblLook w:val="04A0" w:firstRow="1" w:lastRow="0" w:firstColumn="1" w:lastColumn="0" w:noHBand="0" w:noVBand="1"/>
      </w:tblPr>
      <w:tblGrid>
        <w:gridCol w:w="1443"/>
        <w:gridCol w:w="1591"/>
        <w:gridCol w:w="2312"/>
        <w:gridCol w:w="1073"/>
        <w:gridCol w:w="1633"/>
      </w:tblGrid>
      <w:tr w:rsidR="00687EE4" w:rsidTr="00E93CA7">
        <w:tc>
          <w:tcPr>
            <w:tcW w:w="1443" w:type="dxa"/>
          </w:tcPr>
          <w:p w:rsidR="00687EE4" w:rsidRDefault="00687EE4">
            <w:pPr>
              <w:rPr>
                <w:lang w:val="en-US"/>
              </w:rPr>
            </w:pPr>
            <w:r>
              <w:rPr>
                <w:lang w:val="en-US"/>
              </w:rPr>
              <w:t>Potential (V)</w:t>
            </w:r>
          </w:p>
        </w:tc>
        <w:tc>
          <w:tcPr>
            <w:tcW w:w="1591" w:type="dxa"/>
          </w:tcPr>
          <w:p w:rsidR="00687EE4" w:rsidRDefault="00687EE4">
            <w:pPr>
              <w:rPr>
                <w:lang w:val="en-US"/>
              </w:rPr>
            </w:pPr>
            <w:r>
              <w:rPr>
                <w:lang w:val="en-US"/>
              </w:rPr>
              <w:t>Measurement</w:t>
            </w:r>
          </w:p>
        </w:tc>
        <w:tc>
          <w:tcPr>
            <w:tcW w:w="2312" w:type="dxa"/>
          </w:tcPr>
          <w:p w:rsidR="00687EE4" w:rsidRDefault="00687EE4">
            <w:pPr>
              <w:rPr>
                <w:lang w:val="en-US"/>
              </w:rPr>
            </w:pPr>
            <w:r>
              <w:rPr>
                <w:lang w:val="en-US"/>
              </w:rPr>
              <w:t>Formula (corrected)</w:t>
            </w:r>
          </w:p>
        </w:tc>
        <w:tc>
          <w:tcPr>
            <w:tcW w:w="1073" w:type="dxa"/>
          </w:tcPr>
          <w:p w:rsidR="00687EE4" w:rsidRDefault="003E02C5">
            <w:pPr>
              <w:rPr>
                <w:lang w:val="en-US"/>
              </w:rPr>
            </w:pPr>
            <w:r>
              <w:rPr>
                <w:rFonts w:cstheme="minorHAnsi"/>
                <w:lang w:val="en-US"/>
              </w:rPr>
              <w:t>Δ</w:t>
            </w:r>
            <w:r>
              <w:rPr>
                <w:lang w:val="en-US"/>
              </w:rPr>
              <w:t>V</w:t>
            </w:r>
            <w:r w:rsidR="00335706">
              <w:rPr>
                <w:lang w:val="en-US"/>
              </w:rPr>
              <w:t xml:space="preserve"> (V)</w:t>
            </w:r>
          </w:p>
        </w:tc>
        <w:tc>
          <w:tcPr>
            <w:tcW w:w="1633" w:type="dxa"/>
          </w:tcPr>
          <w:p w:rsidR="00687EE4" w:rsidRDefault="00687EE4">
            <w:pPr>
              <w:rPr>
                <w:lang w:val="en-US"/>
              </w:rPr>
            </w:pPr>
            <w:r>
              <w:rPr>
                <w:lang w:val="en-US"/>
              </w:rPr>
              <w:t>E</w:t>
            </w:r>
            <w:r w:rsidR="00335706">
              <w:rPr>
                <w:lang w:val="en-US"/>
              </w:rPr>
              <w:t xml:space="preserve"> (V/m)</w:t>
            </w:r>
          </w:p>
        </w:tc>
      </w:tr>
      <w:tr w:rsidR="00E93CA7" w:rsidTr="00E93CA7">
        <w:tc>
          <w:tcPr>
            <w:tcW w:w="1443" w:type="dxa"/>
            <w:vMerge w:val="restart"/>
          </w:tcPr>
          <w:p w:rsidR="00E93CA7" w:rsidRDefault="00E93CA7">
            <w:pPr>
              <w:rPr>
                <w:lang w:val="en-US"/>
              </w:rPr>
            </w:pPr>
            <w:r>
              <w:rPr>
                <w:lang w:val="en-US"/>
              </w:rPr>
              <w:t>7.5</w:t>
            </w:r>
          </w:p>
        </w:tc>
        <w:tc>
          <w:tcPr>
            <w:tcW w:w="1591" w:type="dxa"/>
          </w:tcPr>
          <w:p w:rsidR="00E93CA7" w:rsidRPr="00687EE4" w:rsidRDefault="00E93CA7" w:rsidP="00687EE4">
            <w:pPr>
              <w:rPr>
                <w:rFonts w:eastAsiaTheme="minorEastAsia"/>
                <w:lang w:val="en-US"/>
              </w:rPr>
            </w:pPr>
            <w:r>
              <w:rPr>
                <w:lang w:val="en-US"/>
              </w:rPr>
              <w:t xml:space="preserve">C-C </w:t>
            </w:r>
          </w:p>
        </w:tc>
        <w:tc>
          <w:tcPr>
            <w:tcW w:w="2312" w:type="dxa"/>
          </w:tcPr>
          <w:p w:rsidR="00E93CA7" w:rsidRDefault="00E93CA7">
            <w:pPr>
              <w:rPr>
                <w:lang w:val="en-US"/>
              </w:rPr>
            </w:pPr>
            <m:oMathPara>
              <m:oMath>
                <m:r>
                  <w:rPr>
                    <w:rFonts w:ascii="Cambria Math" w:hAnsi="Cambria Math"/>
                    <w:lang w:val="en-US"/>
                  </w:rPr>
                  <m:t>y=0,083x+0,55</m:t>
                </m:r>
              </m:oMath>
            </m:oMathPara>
          </w:p>
        </w:tc>
        <w:tc>
          <w:tcPr>
            <w:tcW w:w="1073" w:type="dxa"/>
            <w:vMerge w:val="restart"/>
          </w:tcPr>
          <w:p w:rsidR="00E93CA7" w:rsidRDefault="00E93CA7">
            <w:pPr>
              <w:rPr>
                <w:lang w:val="en-US"/>
              </w:rPr>
            </w:pPr>
            <w:r>
              <w:rPr>
                <w:lang w:val="en-US"/>
              </w:rPr>
              <w:t>1,74</w:t>
            </w:r>
          </w:p>
        </w:tc>
        <w:tc>
          <w:tcPr>
            <w:tcW w:w="1633" w:type="dxa"/>
            <w:vMerge w:val="restart"/>
          </w:tcPr>
          <w:p w:rsidR="00E93CA7" w:rsidRDefault="00E93CA7">
            <w:pPr>
              <w:rPr>
                <w:lang w:val="en-US"/>
              </w:rPr>
            </w:pPr>
            <w:r>
              <w:rPr>
                <w:lang w:val="en-US"/>
              </w:rPr>
              <w:t>1937</w:t>
            </w:r>
          </w:p>
        </w:tc>
      </w:tr>
      <w:tr w:rsidR="00E93CA7" w:rsidTr="00E93CA7">
        <w:tc>
          <w:tcPr>
            <w:tcW w:w="1443" w:type="dxa"/>
            <w:vMerge/>
          </w:tcPr>
          <w:p w:rsidR="00E93CA7" w:rsidRDefault="00E93CA7">
            <w:pPr>
              <w:rPr>
                <w:lang w:val="en-US"/>
              </w:rPr>
            </w:pPr>
          </w:p>
        </w:tc>
        <w:tc>
          <w:tcPr>
            <w:tcW w:w="1591" w:type="dxa"/>
          </w:tcPr>
          <w:p w:rsidR="00E93CA7" w:rsidRDefault="00E93CA7" w:rsidP="00687EE4">
            <w:pPr>
              <w:rPr>
                <w:lang w:val="en-US"/>
              </w:rPr>
            </w:pPr>
            <w:r>
              <w:rPr>
                <w:rFonts w:eastAsiaTheme="minorEastAsia"/>
                <w:lang w:val="en-US"/>
              </w:rPr>
              <w:t>E-E</w:t>
            </w:r>
          </w:p>
        </w:tc>
        <w:tc>
          <w:tcPr>
            <w:tcW w:w="2312" w:type="dxa"/>
          </w:tcPr>
          <w:p w:rsidR="00E93CA7" w:rsidRDefault="00E93CA7">
            <w:pPr>
              <w:rPr>
                <w:lang w:val="en-US"/>
              </w:rPr>
            </w:pPr>
            <m:oMathPara>
              <m:oMath>
                <m:r>
                  <w:rPr>
                    <w:rFonts w:ascii="Cambria Math" w:eastAsiaTheme="minorEastAsia" w:hAnsi="Cambria Math"/>
                    <w:lang w:val="en-US"/>
                  </w:rPr>
                  <m:t>y=0,083x+0,40</m:t>
                </m:r>
              </m:oMath>
            </m:oMathPara>
          </w:p>
        </w:tc>
        <w:tc>
          <w:tcPr>
            <w:tcW w:w="1073" w:type="dxa"/>
            <w:vMerge/>
          </w:tcPr>
          <w:p w:rsidR="00E93CA7" w:rsidRDefault="00E93CA7">
            <w:pPr>
              <w:rPr>
                <w:lang w:val="en-US"/>
              </w:rPr>
            </w:pPr>
          </w:p>
        </w:tc>
        <w:tc>
          <w:tcPr>
            <w:tcW w:w="1633" w:type="dxa"/>
            <w:vMerge/>
          </w:tcPr>
          <w:p w:rsidR="00E93CA7" w:rsidRDefault="00E93CA7">
            <w:pPr>
              <w:rPr>
                <w:lang w:val="en-US"/>
              </w:rPr>
            </w:pPr>
          </w:p>
        </w:tc>
      </w:tr>
      <w:tr w:rsidR="00145718" w:rsidTr="00E93CA7">
        <w:tc>
          <w:tcPr>
            <w:tcW w:w="1443" w:type="dxa"/>
            <w:vMerge w:val="restart"/>
          </w:tcPr>
          <w:p w:rsidR="00145718" w:rsidRDefault="00145718">
            <w:pPr>
              <w:rPr>
                <w:lang w:val="en-US"/>
              </w:rPr>
            </w:pPr>
            <w:r>
              <w:rPr>
                <w:lang w:val="en-US"/>
              </w:rPr>
              <w:t>10</w:t>
            </w:r>
          </w:p>
        </w:tc>
        <w:tc>
          <w:tcPr>
            <w:tcW w:w="1591" w:type="dxa"/>
          </w:tcPr>
          <w:p w:rsidR="00145718" w:rsidRPr="00687EE4" w:rsidRDefault="00145718" w:rsidP="00335A2F">
            <w:pPr>
              <w:rPr>
                <w:rFonts w:eastAsiaTheme="minorEastAsia"/>
                <w:lang w:val="en-US"/>
              </w:rPr>
            </w:pPr>
            <w:r>
              <w:rPr>
                <w:lang w:val="en-US"/>
              </w:rPr>
              <w:t xml:space="preserve">C-C </w:t>
            </w:r>
          </w:p>
        </w:tc>
        <w:tc>
          <w:tcPr>
            <w:tcW w:w="2312" w:type="dxa"/>
          </w:tcPr>
          <w:p w:rsidR="00145718" w:rsidRDefault="00145718" w:rsidP="00145718">
            <w:pPr>
              <w:rPr>
                <w:lang w:val="en-US"/>
              </w:rPr>
            </w:pPr>
            <m:oMathPara>
              <m:oMath>
                <m:r>
                  <w:rPr>
                    <w:rFonts w:ascii="Cambria Math" w:hAnsi="Cambria Math"/>
                    <w:lang w:val="en-US"/>
                  </w:rPr>
                  <m:t>y=0,071x+0,53</m:t>
                </m:r>
              </m:oMath>
            </m:oMathPara>
          </w:p>
        </w:tc>
        <w:tc>
          <w:tcPr>
            <w:tcW w:w="1073" w:type="dxa"/>
            <w:vMerge w:val="restart"/>
          </w:tcPr>
          <w:p w:rsidR="00145718" w:rsidRDefault="00145718">
            <w:pPr>
              <w:rPr>
                <w:lang w:val="en-US"/>
              </w:rPr>
            </w:pPr>
            <w:r>
              <w:rPr>
                <w:lang w:val="en-US"/>
              </w:rPr>
              <w:t>0,95</w:t>
            </w:r>
          </w:p>
        </w:tc>
        <w:tc>
          <w:tcPr>
            <w:tcW w:w="1633" w:type="dxa"/>
            <w:vMerge w:val="restart"/>
          </w:tcPr>
          <w:p w:rsidR="00145718" w:rsidRDefault="00145718">
            <w:pPr>
              <w:rPr>
                <w:lang w:val="en-US"/>
              </w:rPr>
            </w:pPr>
            <w:r>
              <w:rPr>
                <w:lang w:val="en-US"/>
              </w:rPr>
              <w:t>1052</w:t>
            </w:r>
          </w:p>
        </w:tc>
      </w:tr>
      <w:tr w:rsidR="00145718" w:rsidTr="00E93CA7">
        <w:tc>
          <w:tcPr>
            <w:tcW w:w="1443" w:type="dxa"/>
            <w:vMerge/>
          </w:tcPr>
          <w:p w:rsidR="00145718" w:rsidRDefault="00145718">
            <w:pPr>
              <w:rPr>
                <w:lang w:val="en-US"/>
              </w:rPr>
            </w:pPr>
          </w:p>
        </w:tc>
        <w:tc>
          <w:tcPr>
            <w:tcW w:w="1591" w:type="dxa"/>
          </w:tcPr>
          <w:p w:rsidR="00145718" w:rsidRDefault="00145718" w:rsidP="00335A2F">
            <w:pPr>
              <w:rPr>
                <w:lang w:val="en-US"/>
              </w:rPr>
            </w:pPr>
            <w:r>
              <w:rPr>
                <w:rFonts w:eastAsiaTheme="minorEastAsia"/>
                <w:lang w:val="en-US"/>
              </w:rPr>
              <w:t>E-E</w:t>
            </w:r>
          </w:p>
        </w:tc>
        <w:tc>
          <w:tcPr>
            <w:tcW w:w="2312" w:type="dxa"/>
          </w:tcPr>
          <w:p w:rsidR="00145718" w:rsidRDefault="00145718" w:rsidP="00145718">
            <w:pPr>
              <w:rPr>
                <w:lang w:val="en-US"/>
              </w:rPr>
            </w:pPr>
            <m:oMathPara>
              <m:oMath>
                <m:r>
                  <w:rPr>
                    <w:rFonts w:ascii="Cambria Math" w:eastAsiaTheme="minorEastAsia" w:hAnsi="Cambria Math"/>
                    <w:lang w:val="en-US"/>
                  </w:rPr>
                  <m:t>y=0,071x+0,47</m:t>
                </m:r>
              </m:oMath>
            </m:oMathPara>
          </w:p>
        </w:tc>
        <w:tc>
          <w:tcPr>
            <w:tcW w:w="1073" w:type="dxa"/>
            <w:vMerge/>
          </w:tcPr>
          <w:p w:rsidR="00145718" w:rsidRDefault="00145718">
            <w:pPr>
              <w:rPr>
                <w:lang w:val="en-US"/>
              </w:rPr>
            </w:pPr>
          </w:p>
        </w:tc>
        <w:tc>
          <w:tcPr>
            <w:tcW w:w="1633" w:type="dxa"/>
            <w:vMerge/>
          </w:tcPr>
          <w:p w:rsidR="00145718" w:rsidRDefault="00145718">
            <w:pPr>
              <w:rPr>
                <w:lang w:val="en-US"/>
              </w:rPr>
            </w:pPr>
          </w:p>
        </w:tc>
      </w:tr>
      <w:tr w:rsidR="00145718" w:rsidTr="00E93CA7">
        <w:tc>
          <w:tcPr>
            <w:tcW w:w="1443" w:type="dxa"/>
            <w:vMerge w:val="restart"/>
          </w:tcPr>
          <w:p w:rsidR="00145718" w:rsidRDefault="00145718">
            <w:pPr>
              <w:rPr>
                <w:lang w:val="en-US"/>
              </w:rPr>
            </w:pPr>
            <w:r>
              <w:rPr>
                <w:lang w:val="en-US"/>
              </w:rPr>
              <w:t>12.5</w:t>
            </w:r>
          </w:p>
        </w:tc>
        <w:tc>
          <w:tcPr>
            <w:tcW w:w="1591" w:type="dxa"/>
          </w:tcPr>
          <w:p w:rsidR="00145718" w:rsidRPr="00687EE4" w:rsidRDefault="00145718" w:rsidP="00335A2F">
            <w:pPr>
              <w:rPr>
                <w:rFonts w:eastAsiaTheme="minorEastAsia"/>
                <w:lang w:val="en-US"/>
              </w:rPr>
            </w:pPr>
            <w:r>
              <w:rPr>
                <w:lang w:val="en-US"/>
              </w:rPr>
              <w:t xml:space="preserve">C-C </w:t>
            </w:r>
          </w:p>
        </w:tc>
        <w:tc>
          <w:tcPr>
            <w:tcW w:w="2312" w:type="dxa"/>
          </w:tcPr>
          <w:p w:rsidR="00145718" w:rsidRDefault="00145718" w:rsidP="00145718">
            <w:pPr>
              <w:rPr>
                <w:lang w:val="en-US"/>
              </w:rPr>
            </w:pPr>
            <m:oMathPara>
              <m:oMath>
                <m:r>
                  <w:rPr>
                    <w:rFonts w:ascii="Cambria Math" w:hAnsi="Cambria Math"/>
                    <w:lang w:val="en-US"/>
                  </w:rPr>
                  <m:t>y=0,073x+0,66</m:t>
                </m:r>
              </m:oMath>
            </m:oMathPara>
          </w:p>
        </w:tc>
        <w:tc>
          <w:tcPr>
            <w:tcW w:w="1073" w:type="dxa"/>
            <w:vMerge w:val="restart"/>
          </w:tcPr>
          <w:p w:rsidR="00145718" w:rsidRDefault="00145718">
            <w:pPr>
              <w:rPr>
                <w:lang w:val="en-US"/>
              </w:rPr>
            </w:pPr>
            <w:r>
              <w:rPr>
                <w:lang w:val="en-US"/>
              </w:rPr>
              <w:t>1,30</w:t>
            </w:r>
          </w:p>
        </w:tc>
        <w:tc>
          <w:tcPr>
            <w:tcW w:w="1633" w:type="dxa"/>
            <w:vMerge w:val="restart"/>
          </w:tcPr>
          <w:p w:rsidR="00145718" w:rsidRDefault="00A4356D">
            <w:pPr>
              <w:rPr>
                <w:lang w:val="en-US"/>
              </w:rPr>
            </w:pPr>
            <w:r>
              <w:rPr>
                <w:lang w:val="en-US"/>
              </w:rPr>
              <w:t>1443</w:t>
            </w:r>
          </w:p>
        </w:tc>
      </w:tr>
      <w:tr w:rsidR="00145718" w:rsidTr="00E93CA7">
        <w:tc>
          <w:tcPr>
            <w:tcW w:w="1443" w:type="dxa"/>
            <w:vMerge/>
          </w:tcPr>
          <w:p w:rsidR="00145718" w:rsidRDefault="00145718">
            <w:pPr>
              <w:rPr>
                <w:lang w:val="en-US"/>
              </w:rPr>
            </w:pPr>
          </w:p>
        </w:tc>
        <w:tc>
          <w:tcPr>
            <w:tcW w:w="1591" w:type="dxa"/>
          </w:tcPr>
          <w:p w:rsidR="00145718" w:rsidRDefault="00145718" w:rsidP="00335A2F">
            <w:pPr>
              <w:rPr>
                <w:lang w:val="en-US"/>
              </w:rPr>
            </w:pPr>
            <w:r>
              <w:rPr>
                <w:rFonts w:eastAsiaTheme="minorEastAsia"/>
                <w:lang w:val="en-US"/>
              </w:rPr>
              <w:t>E-E</w:t>
            </w:r>
          </w:p>
        </w:tc>
        <w:tc>
          <w:tcPr>
            <w:tcW w:w="2312" w:type="dxa"/>
          </w:tcPr>
          <w:p w:rsidR="00145718" w:rsidRDefault="00145718" w:rsidP="00145718">
            <w:pPr>
              <w:rPr>
                <w:lang w:val="en-US"/>
              </w:rPr>
            </w:pPr>
            <m:oMathPara>
              <m:oMath>
                <m:r>
                  <w:rPr>
                    <w:rFonts w:ascii="Cambria Math" w:eastAsiaTheme="minorEastAsia" w:hAnsi="Cambria Math"/>
                    <w:lang w:val="en-US"/>
                  </w:rPr>
                  <m:t>y=0,073x+0,56</m:t>
                </m:r>
              </m:oMath>
            </m:oMathPara>
          </w:p>
        </w:tc>
        <w:tc>
          <w:tcPr>
            <w:tcW w:w="1073" w:type="dxa"/>
            <w:vMerge/>
          </w:tcPr>
          <w:p w:rsidR="00145718" w:rsidRDefault="00145718">
            <w:pPr>
              <w:rPr>
                <w:lang w:val="en-US"/>
              </w:rPr>
            </w:pPr>
          </w:p>
        </w:tc>
        <w:tc>
          <w:tcPr>
            <w:tcW w:w="1633" w:type="dxa"/>
            <w:vMerge/>
          </w:tcPr>
          <w:p w:rsidR="00145718" w:rsidRDefault="00145718">
            <w:pPr>
              <w:rPr>
                <w:lang w:val="en-US"/>
              </w:rPr>
            </w:pPr>
          </w:p>
        </w:tc>
      </w:tr>
    </w:tbl>
    <w:p w:rsidR="0029139F" w:rsidRDefault="0029139F">
      <w:pPr>
        <w:rPr>
          <w:lang w:val="en-US"/>
        </w:rPr>
      </w:pPr>
    </w:p>
    <w:p w:rsidR="0029139F" w:rsidRDefault="0029139F" w:rsidP="0029139F">
      <w:pPr>
        <w:rPr>
          <w:lang w:val="en-US"/>
        </w:rPr>
      </w:pPr>
      <w:r>
        <w:rPr>
          <w:lang w:val="en-US"/>
        </w:rPr>
        <w:br w:type="page"/>
      </w:r>
    </w:p>
    <w:p w:rsidR="00B66127" w:rsidRDefault="00B66127" w:rsidP="00CF6052">
      <w:pPr>
        <w:pStyle w:val="Heading2"/>
        <w:rPr>
          <w:lang w:val="en-US"/>
        </w:rPr>
      </w:pPr>
      <w:r>
        <w:rPr>
          <w:lang w:val="en-US"/>
        </w:rPr>
        <w:lastRenderedPageBreak/>
        <w:t>Assignment 2</w:t>
      </w:r>
      <w:r w:rsidR="00C44310">
        <w:rPr>
          <w:lang w:val="en-US"/>
        </w:rPr>
        <w:t>: Charge carrier mobility</w:t>
      </w:r>
    </w:p>
    <w:p w:rsidR="00BD45D9" w:rsidRDefault="00EA082D" w:rsidP="0051027B">
      <w:pPr>
        <w:rPr>
          <w:lang w:val="en-US"/>
        </w:rPr>
      </w:pPr>
      <w:r>
        <w:rPr>
          <w:lang w:val="en-US"/>
        </w:rPr>
        <w:t>During this measurement the pulse voltage was varied at 300MHz, resulting in two peaks on the oscilloscope.</w:t>
      </w:r>
      <w:r w:rsidR="00C06DDA">
        <w:rPr>
          <w:lang w:val="en-US"/>
        </w:rPr>
        <w:t xml:space="preserve"> The first peak was roughly the same shape as the input peak, which indicates that the origin of this peak also lies there. </w:t>
      </w:r>
      <w:proofErr w:type="gramStart"/>
      <w:r w:rsidR="00C06DDA">
        <w:rPr>
          <w:lang w:val="en-US"/>
        </w:rPr>
        <w:t>Meaning that when the input pulse is gener</w:t>
      </w:r>
      <w:r w:rsidR="00A9686C">
        <w:rPr>
          <w:lang w:val="en-US"/>
        </w:rPr>
        <w:t>ated it changes the potential over</w:t>
      </w:r>
      <w:r w:rsidR="00C06DDA">
        <w:rPr>
          <w:lang w:val="en-US"/>
        </w:rPr>
        <w:t xml:space="preserve"> the semi-conductor</w:t>
      </w:r>
      <w:r w:rsidR="00A9686C">
        <w:rPr>
          <w:lang w:val="en-US"/>
        </w:rPr>
        <w:t>, thus changing the electric field,</w:t>
      </w:r>
      <w:r w:rsidR="00C06DDA">
        <w:rPr>
          <w:lang w:val="en-US"/>
        </w:rPr>
        <w:t xml:space="preserve"> which directly show</w:t>
      </w:r>
      <w:r w:rsidR="00417838">
        <w:rPr>
          <w:lang w:val="en-US"/>
        </w:rPr>
        <w:t>s</w:t>
      </w:r>
      <w:r w:rsidR="00C06DDA">
        <w:rPr>
          <w:lang w:val="en-US"/>
        </w:rPr>
        <w:t xml:space="preserve"> on the oscilloscope.</w:t>
      </w:r>
      <w:proofErr w:type="gramEnd"/>
      <w:r w:rsidR="00C06DDA">
        <w:rPr>
          <w:lang w:val="en-US"/>
        </w:rPr>
        <w:t xml:space="preserve"> The second peak is a more curved </w:t>
      </w:r>
      <w:proofErr w:type="gramStart"/>
      <w:r w:rsidR="00C06DDA">
        <w:rPr>
          <w:lang w:val="en-US"/>
        </w:rPr>
        <w:t>one,</w:t>
      </w:r>
      <w:proofErr w:type="gramEnd"/>
      <w:r w:rsidR="00C06DDA">
        <w:rPr>
          <w:lang w:val="en-US"/>
        </w:rPr>
        <w:t xml:space="preserve"> also this is the peak we are interested in because it depicts the traveling of charge carriers from </w:t>
      </w:r>
      <w:r w:rsidR="00050243">
        <w:rPr>
          <w:lang w:val="en-US"/>
        </w:rPr>
        <w:t>emitter</w:t>
      </w:r>
      <w:r w:rsidR="00C06DDA">
        <w:rPr>
          <w:lang w:val="en-US"/>
        </w:rPr>
        <w:t xml:space="preserve"> to collector</w:t>
      </w:r>
      <w:r>
        <w:rPr>
          <w:lang w:val="en-US"/>
        </w:rPr>
        <w:t xml:space="preserve">. </w:t>
      </w:r>
      <w:r w:rsidR="00C06DDA">
        <w:rPr>
          <w:lang w:val="en-US"/>
        </w:rPr>
        <w:t xml:space="preserve">The time it </w:t>
      </w:r>
      <w:r w:rsidR="004F0252">
        <w:rPr>
          <w:lang w:val="en-US"/>
        </w:rPr>
        <w:t>takes</w:t>
      </w:r>
      <w:r w:rsidR="00C06DDA">
        <w:rPr>
          <w:lang w:val="en-US"/>
        </w:rPr>
        <w:t xml:space="preserve"> for the input signal to reach the collector is used in following calculations. </w:t>
      </w:r>
      <w:r w:rsidR="00BD45D9">
        <w:rPr>
          <w:lang w:val="en-US"/>
        </w:rPr>
        <w:t>This was done using the provided formula from the manual</w:t>
      </w:r>
    </w:p>
    <w:p w:rsidR="00BD45D9" w:rsidRDefault="00BD45D9" w:rsidP="00BD45D9">
      <w:pPr>
        <w:jc w:val="center"/>
        <w:rPr>
          <w:lang w:val="en-US"/>
        </w:rPr>
      </w:pPr>
      <m:oMathPara>
        <m:oMath>
          <m:r>
            <w:rPr>
              <w:rFonts w:ascii="Cambria Math" w:hAnsi="Cambria Math"/>
              <w:lang w:val="en-US"/>
            </w:rPr>
            <m:t>μ=</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oMath>
      </m:oMathPara>
    </w:p>
    <w:p w:rsidR="00CF6052" w:rsidRDefault="00BD45D9" w:rsidP="00BD45D9">
      <w:pPr>
        <w:jc w:val="left"/>
        <w:rPr>
          <w:lang w:val="en-US"/>
        </w:rPr>
      </w:pPr>
      <w:proofErr w:type="gramStart"/>
      <w:r>
        <w:rPr>
          <w:lang w:val="en-US"/>
        </w:rPr>
        <w:t xml:space="preserve">Where </w:t>
      </w:r>
      <w:r>
        <w:rPr>
          <w:rFonts w:cstheme="minorHAnsi"/>
          <w:lang w:val="en-US"/>
        </w:rPr>
        <w:t>μ</w:t>
      </w:r>
      <w:r>
        <w:rPr>
          <w:lang w:val="en-US"/>
        </w:rPr>
        <w:t xml:space="preserve"> is the mobility of the</w:t>
      </w:r>
      <w:r w:rsidR="00050243">
        <w:rPr>
          <w:lang w:val="en-US"/>
        </w:rPr>
        <w:t xml:space="preserve"> minority</w:t>
      </w:r>
      <w:r>
        <w:rPr>
          <w:lang w:val="en-US"/>
        </w:rPr>
        <w:t xml:space="preserve"> charge carriers, and d, E</w:t>
      </w:r>
      <w:r>
        <w:rPr>
          <w:vertAlign w:val="subscript"/>
          <w:lang w:val="en-US"/>
        </w:rPr>
        <w:t>0</w:t>
      </w:r>
      <w:r>
        <w:rPr>
          <w:lang w:val="en-US"/>
        </w:rPr>
        <w:t xml:space="preserve"> and t</w:t>
      </w:r>
      <w:r>
        <w:rPr>
          <w:vertAlign w:val="subscript"/>
          <w:lang w:val="en-US"/>
        </w:rPr>
        <w:t>0</w:t>
      </w:r>
      <w:r>
        <w:rPr>
          <w:lang w:val="en-US"/>
        </w:rPr>
        <w:t xml:space="preserve"> defined as distance between </w:t>
      </w:r>
      <w:r w:rsidR="00050243">
        <w:rPr>
          <w:lang w:val="en-US"/>
        </w:rPr>
        <w:t>emitter</w:t>
      </w:r>
      <w:r>
        <w:rPr>
          <w:lang w:val="en-US"/>
        </w:rPr>
        <w:t xml:space="preserve"> and collector, electric field and the time needed for the pulse to reach the collector.</w:t>
      </w:r>
      <w:proofErr w:type="gramEnd"/>
      <w:r w:rsidR="00CF6052">
        <w:rPr>
          <w:lang w:val="en-US"/>
        </w:rPr>
        <w:t xml:space="preserve"> During measurement the potential was kept steady at </w:t>
      </w:r>
      <w:r w:rsidR="005175B3">
        <w:rPr>
          <w:lang w:val="en-US"/>
        </w:rPr>
        <w:t>10V</w:t>
      </w:r>
      <w:r w:rsidR="00CF6052">
        <w:rPr>
          <w:lang w:val="en-US"/>
        </w:rPr>
        <w:t xml:space="preserve">, which translates to an electric field of 1052 V/m as determined in </w:t>
      </w:r>
      <w:r w:rsidR="00CF6052">
        <w:rPr>
          <w:rFonts w:cstheme="minorHAnsi"/>
          <w:lang w:val="en-US"/>
        </w:rPr>
        <w:t>§</w:t>
      </w:r>
      <w:r w:rsidR="00CF6052">
        <w:rPr>
          <w:rFonts w:cstheme="minorHAnsi"/>
          <w:lang w:val="en-US"/>
        </w:rPr>
        <w:fldChar w:fldCharType="begin"/>
      </w:r>
      <w:r w:rsidR="00CF6052">
        <w:rPr>
          <w:rFonts w:cstheme="minorHAnsi"/>
          <w:lang w:val="en-US"/>
        </w:rPr>
        <w:instrText xml:space="preserve"> REF _Ref288744619 \r \h </w:instrText>
      </w:r>
      <w:r w:rsidR="00CF6052">
        <w:rPr>
          <w:rFonts w:cstheme="minorHAnsi"/>
          <w:lang w:val="en-US"/>
        </w:rPr>
      </w:r>
      <w:r w:rsidR="00CF6052">
        <w:rPr>
          <w:rFonts w:cstheme="minorHAnsi"/>
          <w:lang w:val="en-US"/>
        </w:rPr>
        <w:fldChar w:fldCharType="separate"/>
      </w:r>
      <w:r w:rsidR="00534777">
        <w:rPr>
          <w:rFonts w:cstheme="minorHAnsi"/>
          <w:lang w:val="en-US"/>
        </w:rPr>
        <w:t>3.1</w:t>
      </w:r>
      <w:r w:rsidR="00CF6052">
        <w:rPr>
          <w:rFonts w:cstheme="minorHAnsi"/>
          <w:lang w:val="en-US"/>
        </w:rPr>
        <w:fldChar w:fldCharType="end"/>
      </w:r>
    </w:p>
    <w:p w:rsidR="00B36C0B" w:rsidRDefault="00CF6052" w:rsidP="00B36C0B">
      <w:pPr>
        <w:keepNext/>
        <w:jc w:val="left"/>
      </w:pPr>
      <w:r>
        <w:rPr>
          <w:noProof/>
          <w:lang w:eastAsia="nl-NL"/>
        </w:rPr>
        <w:drawing>
          <wp:inline distT="0" distB="0" distL="0" distR="0" wp14:anchorId="4F728CDC" wp14:editId="7892BE04">
            <wp:extent cx="5924550" cy="230981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36C0B" w:rsidRPr="00B36C0B" w:rsidRDefault="00B36C0B" w:rsidP="00B36C0B">
      <w:pPr>
        <w:pStyle w:val="Caption"/>
        <w:jc w:val="left"/>
        <w:rPr>
          <w:lang w:val="en-US"/>
        </w:rPr>
      </w:pPr>
      <w:bookmarkStart w:id="6" w:name="_Ref288747242"/>
      <w:r w:rsidRPr="00B36C0B">
        <w:rPr>
          <w:lang w:val="en-US"/>
        </w:rPr>
        <w:t xml:space="preserve">Figure </w:t>
      </w:r>
      <w:r>
        <w:fldChar w:fldCharType="begin"/>
      </w:r>
      <w:r w:rsidRPr="00B36C0B">
        <w:rPr>
          <w:lang w:val="en-US"/>
        </w:rPr>
        <w:instrText xml:space="preserve"> SEQ Figure \* ARABIC </w:instrText>
      </w:r>
      <w:r>
        <w:fldChar w:fldCharType="separate"/>
      </w:r>
      <w:r w:rsidR="00534777">
        <w:rPr>
          <w:noProof/>
          <w:lang w:val="en-US"/>
        </w:rPr>
        <w:t>5</w:t>
      </w:r>
      <w:r>
        <w:fldChar w:fldCharType="end"/>
      </w:r>
      <w:bookmarkEnd w:id="6"/>
      <w:r w:rsidRPr="00B36C0B">
        <w:rPr>
          <w:lang w:val="en-US"/>
        </w:rPr>
        <w:t xml:space="preserve"> Mobility vs. travel time vs. pulse voltage - 300</w:t>
      </w:r>
      <w:r>
        <w:rPr>
          <w:rFonts w:cstheme="minorHAnsi"/>
        </w:rPr>
        <w:t>μ</w:t>
      </w:r>
      <w:r w:rsidRPr="00B36C0B">
        <w:rPr>
          <w:lang w:val="en-US"/>
        </w:rPr>
        <w:t>m</w:t>
      </w:r>
    </w:p>
    <w:p w:rsidR="00B36C0B" w:rsidRDefault="00CF6052" w:rsidP="00B36C0B">
      <w:pPr>
        <w:keepNext/>
        <w:jc w:val="left"/>
      </w:pPr>
      <w:r>
        <w:rPr>
          <w:noProof/>
          <w:lang w:eastAsia="nl-NL"/>
        </w:rPr>
        <w:drawing>
          <wp:inline distT="0" distB="0" distL="0" distR="0" wp14:anchorId="3090A773" wp14:editId="3874B454">
            <wp:extent cx="5924550" cy="2309813"/>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36C0B" w:rsidRPr="002058B2" w:rsidRDefault="00B36C0B" w:rsidP="00B36C0B">
      <w:pPr>
        <w:pStyle w:val="Caption"/>
        <w:jc w:val="left"/>
        <w:rPr>
          <w:lang w:val="en-US"/>
        </w:rPr>
      </w:pPr>
      <w:bookmarkStart w:id="7" w:name="_Ref288747243"/>
      <w:r w:rsidRPr="002058B2">
        <w:rPr>
          <w:lang w:val="en-US"/>
        </w:rPr>
        <w:t xml:space="preserve">Figure </w:t>
      </w:r>
      <w:r>
        <w:fldChar w:fldCharType="begin"/>
      </w:r>
      <w:r w:rsidRPr="002058B2">
        <w:rPr>
          <w:lang w:val="en-US"/>
        </w:rPr>
        <w:instrText xml:space="preserve"> SEQ Figure \* ARABIC </w:instrText>
      </w:r>
      <w:r>
        <w:fldChar w:fldCharType="separate"/>
      </w:r>
      <w:r w:rsidR="00534777">
        <w:rPr>
          <w:noProof/>
          <w:lang w:val="en-US"/>
        </w:rPr>
        <w:t>6</w:t>
      </w:r>
      <w:r>
        <w:fldChar w:fldCharType="end"/>
      </w:r>
      <w:bookmarkEnd w:id="7"/>
      <w:r w:rsidRPr="002058B2">
        <w:rPr>
          <w:lang w:val="en-US"/>
        </w:rPr>
        <w:t xml:space="preserve"> Mobility vs. travel time vs. pulse voltage - 600</w:t>
      </w:r>
      <w:r w:rsidRPr="00557ABA">
        <w:t>μ</w:t>
      </w:r>
      <w:r w:rsidRPr="002058B2">
        <w:rPr>
          <w:lang w:val="en-US"/>
        </w:rPr>
        <w:t>m</w:t>
      </w:r>
    </w:p>
    <w:p w:rsidR="00B36C0B" w:rsidRDefault="00CF6052" w:rsidP="00B36C0B">
      <w:pPr>
        <w:keepNext/>
        <w:jc w:val="left"/>
      </w:pPr>
      <w:r>
        <w:rPr>
          <w:noProof/>
          <w:lang w:eastAsia="nl-NL"/>
        </w:rPr>
        <w:lastRenderedPageBreak/>
        <w:drawing>
          <wp:inline distT="0" distB="0" distL="0" distR="0" wp14:anchorId="7036D447" wp14:editId="027A98DD">
            <wp:extent cx="5934075" cy="230981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36C0B" w:rsidRPr="002058B2" w:rsidRDefault="00B36C0B" w:rsidP="00B36C0B">
      <w:pPr>
        <w:pStyle w:val="Caption"/>
        <w:jc w:val="left"/>
        <w:rPr>
          <w:lang w:val="en-US"/>
        </w:rPr>
      </w:pPr>
      <w:bookmarkStart w:id="8" w:name="_Ref288747244"/>
      <w:r w:rsidRPr="002058B2">
        <w:rPr>
          <w:lang w:val="en-US"/>
        </w:rPr>
        <w:t xml:space="preserve">Figure </w:t>
      </w:r>
      <w:r>
        <w:fldChar w:fldCharType="begin"/>
      </w:r>
      <w:r w:rsidRPr="002058B2">
        <w:rPr>
          <w:lang w:val="en-US"/>
        </w:rPr>
        <w:instrText xml:space="preserve"> SEQ Figure \* ARABIC </w:instrText>
      </w:r>
      <w:r>
        <w:fldChar w:fldCharType="separate"/>
      </w:r>
      <w:r w:rsidR="00534777">
        <w:rPr>
          <w:noProof/>
          <w:lang w:val="en-US"/>
        </w:rPr>
        <w:t>7</w:t>
      </w:r>
      <w:r>
        <w:fldChar w:fldCharType="end"/>
      </w:r>
      <w:bookmarkEnd w:id="8"/>
      <w:r w:rsidRPr="002058B2">
        <w:rPr>
          <w:lang w:val="en-US"/>
        </w:rPr>
        <w:t xml:space="preserve"> Mobility vs. travel time vs. pulse voltage - 900</w:t>
      </w:r>
      <w:r w:rsidRPr="00BF1C48">
        <w:t>μ</w:t>
      </w:r>
      <w:r w:rsidRPr="002058B2">
        <w:rPr>
          <w:lang w:val="en-US"/>
        </w:rPr>
        <w:t>m</w:t>
      </w:r>
    </w:p>
    <w:p w:rsidR="001A6172" w:rsidRDefault="001A6172" w:rsidP="0029139F">
      <w:pPr>
        <w:jc w:val="left"/>
        <w:rPr>
          <w:lang w:val="en-US"/>
        </w:rPr>
      </w:pPr>
      <w:r>
        <w:rPr>
          <w:lang w:val="en-US"/>
        </w:rPr>
        <w:t xml:space="preserve">As can be seen in </w:t>
      </w:r>
      <w:r>
        <w:rPr>
          <w:lang w:val="en-US"/>
        </w:rPr>
        <w:fldChar w:fldCharType="begin"/>
      </w:r>
      <w:r>
        <w:rPr>
          <w:lang w:val="en-US"/>
        </w:rPr>
        <w:instrText xml:space="preserve"> REF _Ref288747242 \h </w:instrText>
      </w:r>
      <w:r>
        <w:rPr>
          <w:lang w:val="en-US"/>
        </w:rPr>
      </w:r>
      <w:r>
        <w:rPr>
          <w:lang w:val="en-US"/>
        </w:rPr>
        <w:fldChar w:fldCharType="separate"/>
      </w:r>
      <w:r w:rsidR="00534777" w:rsidRPr="00B36C0B">
        <w:rPr>
          <w:lang w:val="en-US"/>
        </w:rPr>
        <w:t xml:space="preserve">Figure </w:t>
      </w:r>
      <w:r w:rsidR="00534777">
        <w:rPr>
          <w:noProof/>
          <w:lang w:val="en-US"/>
        </w:rPr>
        <w:t>5</w:t>
      </w:r>
      <w:r>
        <w:rPr>
          <w:lang w:val="en-US"/>
        </w:rPr>
        <w:fldChar w:fldCharType="end"/>
      </w:r>
      <w:r>
        <w:rPr>
          <w:lang w:val="en-US"/>
        </w:rPr>
        <w:t xml:space="preserve">, </w:t>
      </w:r>
      <w:r>
        <w:rPr>
          <w:lang w:val="en-US"/>
        </w:rPr>
        <w:fldChar w:fldCharType="begin"/>
      </w:r>
      <w:r>
        <w:rPr>
          <w:lang w:val="en-US"/>
        </w:rPr>
        <w:instrText xml:space="preserve"> REF _Ref288747243 \h </w:instrText>
      </w:r>
      <w:r>
        <w:rPr>
          <w:lang w:val="en-US"/>
        </w:rPr>
      </w:r>
      <w:r>
        <w:rPr>
          <w:lang w:val="en-US"/>
        </w:rPr>
        <w:fldChar w:fldCharType="separate"/>
      </w:r>
      <w:r w:rsidR="00534777" w:rsidRPr="002058B2">
        <w:rPr>
          <w:lang w:val="en-US"/>
        </w:rPr>
        <w:t xml:space="preserve">Figure </w:t>
      </w:r>
      <w:r w:rsidR="00534777">
        <w:rPr>
          <w:noProof/>
          <w:lang w:val="en-US"/>
        </w:rPr>
        <w:t>6</w:t>
      </w:r>
      <w:r>
        <w:rPr>
          <w:lang w:val="en-US"/>
        </w:rPr>
        <w:fldChar w:fldCharType="end"/>
      </w:r>
      <w:r>
        <w:rPr>
          <w:lang w:val="en-US"/>
        </w:rPr>
        <w:t xml:space="preserve"> and </w:t>
      </w:r>
      <w:r>
        <w:rPr>
          <w:lang w:val="en-US"/>
        </w:rPr>
        <w:fldChar w:fldCharType="begin"/>
      </w:r>
      <w:r>
        <w:rPr>
          <w:lang w:val="en-US"/>
        </w:rPr>
        <w:instrText xml:space="preserve"> REF _Ref288747244 \h </w:instrText>
      </w:r>
      <w:r>
        <w:rPr>
          <w:lang w:val="en-US"/>
        </w:rPr>
      </w:r>
      <w:r>
        <w:rPr>
          <w:lang w:val="en-US"/>
        </w:rPr>
        <w:fldChar w:fldCharType="separate"/>
      </w:r>
      <w:r w:rsidR="00534777" w:rsidRPr="002058B2">
        <w:rPr>
          <w:lang w:val="en-US"/>
        </w:rPr>
        <w:t xml:space="preserve">Figure </w:t>
      </w:r>
      <w:r w:rsidR="00534777">
        <w:rPr>
          <w:noProof/>
          <w:lang w:val="en-US"/>
        </w:rPr>
        <w:t>7</w:t>
      </w:r>
      <w:r>
        <w:rPr>
          <w:lang w:val="en-US"/>
        </w:rPr>
        <w:fldChar w:fldCharType="end"/>
      </w:r>
      <w:r>
        <w:rPr>
          <w:lang w:val="en-US"/>
        </w:rPr>
        <w:t xml:space="preserve"> </w:t>
      </w:r>
      <w:proofErr w:type="gramStart"/>
      <w:r>
        <w:rPr>
          <w:lang w:val="en-US"/>
        </w:rPr>
        <w:t>decreases</w:t>
      </w:r>
      <w:proofErr w:type="gramEnd"/>
      <w:r>
        <w:rPr>
          <w:lang w:val="en-US"/>
        </w:rPr>
        <w:t xml:space="preserve"> the mobility of the charge carriers when the pulse voltage increases. It can be discussed that this is due to the distortion of the electric field as described earlier. This distortion causes the electric field to decrease causing the charge carriers to take longer to reach the collector.</w:t>
      </w:r>
    </w:p>
    <w:p w:rsidR="00F92811" w:rsidRDefault="00F92811" w:rsidP="001A6172">
      <w:pPr>
        <w:rPr>
          <w:lang w:val="en-US"/>
        </w:rPr>
      </w:pPr>
      <w:r>
        <w:rPr>
          <w:lang w:val="en-US"/>
        </w:rPr>
        <w:t>So for calculating the minority charge carrier mobility we take the linear part at lower voltages and use the earlier mentioned formula.</w:t>
      </w:r>
    </w:p>
    <w:p w:rsidR="00F92811" w:rsidRDefault="0054754F" w:rsidP="001A6172">
      <w:pPr>
        <w:rPr>
          <w:lang w:val="en-US"/>
        </w:rPr>
      </w:pPr>
      <w:r>
        <w:rPr>
          <w:lang w:val="en-US"/>
        </w:rPr>
        <w:t xml:space="preserve">For </w:t>
      </w:r>
      <w:r w:rsidR="00BC0D91">
        <w:rPr>
          <w:lang w:val="en-US"/>
        </w:rPr>
        <w:t>3</w:t>
      </w:r>
      <w:r>
        <w:rPr>
          <w:lang w:val="en-US"/>
        </w:rPr>
        <w:t>00</w:t>
      </w:r>
      <w:r>
        <w:rPr>
          <w:rFonts w:cstheme="minorHAnsi"/>
          <w:lang w:val="en-US"/>
        </w:rPr>
        <w:t>μ</w:t>
      </w:r>
      <w:r>
        <w:rPr>
          <w:lang w:val="en-US"/>
        </w:rPr>
        <w:t xml:space="preserve"> we get</w:t>
      </w:r>
    </w:p>
    <w:p w:rsidR="00BC0D91" w:rsidRPr="001A6172" w:rsidRDefault="00BC0D91" w:rsidP="00BC0D91">
      <w:pPr>
        <w:rPr>
          <w:lang w:val="en-US"/>
        </w:rPr>
      </w:pPr>
      <m:oMathPara>
        <m:oMath>
          <m:r>
            <w:rPr>
              <w:rFonts w:ascii="Cambria Math" w:hAnsi="Cambria Math"/>
              <w:lang w:val="en-US"/>
            </w:rPr>
            <m:t>μ=</m:t>
          </m:r>
          <m:f>
            <m:fPr>
              <m:ctrlPr>
                <w:rPr>
                  <w:rFonts w:ascii="Cambria Math" w:hAnsi="Cambria Math"/>
                  <w:i/>
                  <w:lang w:val="en-US"/>
                </w:rPr>
              </m:ctrlPr>
            </m:fPr>
            <m:num>
              <m:r>
                <w:rPr>
                  <w:rFonts w:ascii="Cambria Math" w:hAnsi="Cambria Math"/>
                  <w:lang w:val="en-US"/>
                </w:rPr>
                <m:t>300∙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1052∙(9.00∙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r>
                <w:rPr>
                  <w:rFonts w:ascii="Cambria Math" w:hAnsi="Cambria Math"/>
                  <w:lang w:val="en-US"/>
                </w:rPr>
                <m:t>±9.35∙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en>
          </m:f>
          <m:r>
            <w:rPr>
              <w:rFonts w:ascii="Cambria Math" w:eastAsiaTheme="minorEastAsia" w:hAnsi="Cambria Math"/>
              <w:lang w:val="en-US"/>
            </w:rPr>
            <m:t>=1.50±1.81∙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 xml:space="preserve"> </m:t>
          </m:r>
          <m:f>
            <m:fPr>
              <m:type m:val="skw"/>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r>
                <w:rPr>
                  <w:rFonts w:ascii="Cambria Math" w:eastAsiaTheme="minorEastAsia" w:hAnsi="Cambria Math"/>
                  <w:lang w:val="en-US"/>
                </w:rPr>
                <m:t>V∙s</m:t>
              </m:r>
            </m:den>
          </m:f>
        </m:oMath>
      </m:oMathPara>
    </w:p>
    <w:p w:rsidR="00BC0D91" w:rsidRDefault="00BC0D91" w:rsidP="00BC0D91">
      <w:pPr>
        <w:rPr>
          <w:lang w:val="en-US"/>
        </w:rPr>
      </w:pPr>
      <w:r>
        <w:rPr>
          <w:lang w:val="en-US"/>
        </w:rPr>
        <w:t>600</w:t>
      </w:r>
      <w:r>
        <w:rPr>
          <w:rFonts w:cstheme="minorHAnsi"/>
          <w:lang w:val="en-US"/>
        </w:rPr>
        <w:t>μ</w:t>
      </w:r>
      <w:r>
        <w:rPr>
          <w:lang w:val="en-US"/>
        </w:rPr>
        <w:t>m</w:t>
      </w:r>
    </w:p>
    <w:p w:rsidR="00BC0D91" w:rsidRPr="008250FB" w:rsidRDefault="00BC0D91" w:rsidP="00BC0D91">
      <w:pPr>
        <w:rPr>
          <w:rFonts w:eastAsiaTheme="minorEastAsia"/>
          <w:lang w:val="en-US"/>
        </w:rPr>
      </w:pPr>
      <m:oMathPara>
        <m:oMath>
          <m:r>
            <w:rPr>
              <w:rFonts w:ascii="Cambria Math" w:hAnsi="Cambria Math"/>
              <w:lang w:val="en-US"/>
            </w:rPr>
            <m:t>μ=</m:t>
          </m:r>
          <m:f>
            <m:fPr>
              <m:ctrlPr>
                <w:rPr>
                  <w:rFonts w:ascii="Cambria Math" w:hAnsi="Cambria Math"/>
                  <w:i/>
                  <w:lang w:val="en-US"/>
                </w:rPr>
              </m:ctrlPr>
            </m:fPr>
            <m:num>
              <m:r>
                <w:rPr>
                  <w:rFonts w:ascii="Cambria Math" w:hAnsi="Cambria Math"/>
                  <w:lang w:val="en-US"/>
                </w:rPr>
                <m:t>600∙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1052∙(4.83∙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r>
                <w:rPr>
                  <w:rFonts w:ascii="Cambria Math" w:hAnsi="Cambria Math"/>
                  <w:lang w:val="en-US"/>
                </w:rPr>
                <m:t>±4.8∙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en>
          </m:f>
          <m:r>
            <w:rPr>
              <w:rFonts w:ascii="Cambria Math" w:eastAsiaTheme="minorEastAsia" w:hAnsi="Cambria Math"/>
              <w:lang w:val="en-US"/>
            </w:rPr>
            <m:t>=1.18±4.78∙</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 xml:space="preserve"> </m:t>
          </m:r>
          <m:f>
            <m:fPr>
              <m:type m:val="skw"/>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r>
                <w:rPr>
                  <w:rFonts w:ascii="Cambria Math" w:eastAsiaTheme="minorEastAsia" w:hAnsi="Cambria Math"/>
                  <w:lang w:val="en-US"/>
                </w:rPr>
                <m:t>V∙s</m:t>
              </m:r>
            </m:den>
          </m:f>
        </m:oMath>
      </m:oMathPara>
    </w:p>
    <w:p w:rsidR="008250FB" w:rsidRDefault="001E0187" w:rsidP="001A6172">
      <w:pPr>
        <w:rPr>
          <w:rFonts w:eastAsiaTheme="minorEastAsia"/>
          <w:lang w:val="en-US"/>
        </w:rPr>
      </w:pPr>
      <w:r>
        <w:rPr>
          <w:rFonts w:eastAsiaTheme="minorEastAsia"/>
          <w:lang w:val="en-US"/>
        </w:rPr>
        <w:t>9</w:t>
      </w:r>
      <w:r w:rsidR="008250FB">
        <w:rPr>
          <w:rFonts w:eastAsiaTheme="minorEastAsia"/>
          <w:lang w:val="en-US"/>
        </w:rPr>
        <w:t>00</w:t>
      </w:r>
      <w:r w:rsidR="008250FB">
        <w:rPr>
          <w:rFonts w:eastAsiaTheme="minorEastAsia" w:cstheme="minorHAnsi"/>
          <w:lang w:val="en-US"/>
        </w:rPr>
        <w:t>μ</w:t>
      </w:r>
      <w:r w:rsidR="008250FB">
        <w:rPr>
          <w:rFonts w:eastAsiaTheme="minorEastAsia"/>
          <w:lang w:val="en-US"/>
        </w:rPr>
        <w:t>m</w:t>
      </w:r>
    </w:p>
    <w:p w:rsidR="008250FB" w:rsidRPr="001A6172" w:rsidRDefault="008250FB" w:rsidP="008250FB">
      <w:pPr>
        <w:rPr>
          <w:lang w:val="en-US"/>
        </w:rPr>
      </w:pPr>
      <m:oMathPara>
        <m:oMath>
          <m:r>
            <w:rPr>
              <w:rFonts w:ascii="Cambria Math" w:hAnsi="Cambria Math"/>
              <w:lang w:val="en-US"/>
            </w:rPr>
            <m:t>μ=</m:t>
          </m:r>
          <m:f>
            <m:fPr>
              <m:ctrlPr>
                <w:rPr>
                  <w:rFonts w:ascii="Cambria Math" w:hAnsi="Cambria Math"/>
                  <w:i/>
                  <w:lang w:val="en-US"/>
                </w:rPr>
              </m:ctrlPr>
            </m:fPr>
            <m:num>
              <m:r>
                <w:rPr>
                  <w:rFonts w:ascii="Cambria Math" w:hAnsi="Cambria Math"/>
                  <w:lang w:val="en-US"/>
                </w:rPr>
                <m:t>900∙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1052∙(9.00∙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r>
                <w:rPr>
                  <w:rFonts w:ascii="Cambria Math" w:hAnsi="Cambria Math"/>
                  <w:lang w:val="en-US"/>
                </w:rPr>
                <m:t>±9.35∙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en>
          </m:f>
          <m:r>
            <w:rPr>
              <w:rFonts w:ascii="Cambria Math" w:eastAsiaTheme="minorEastAsia" w:hAnsi="Cambria Math"/>
              <w:lang w:val="en-US"/>
            </w:rPr>
            <m:t>=0.951±8.91∙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 xml:space="preserve"> </m:t>
          </m:r>
          <m:f>
            <m:fPr>
              <m:type m:val="skw"/>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r>
                <w:rPr>
                  <w:rFonts w:ascii="Cambria Math" w:eastAsiaTheme="minorEastAsia" w:hAnsi="Cambria Math"/>
                  <w:lang w:val="en-US"/>
                </w:rPr>
                <m:t>V∙s</m:t>
              </m:r>
            </m:den>
          </m:f>
        </m:oMath>
      </m:oMathPara>
    </w:p>
    <w:p w:rsidR="006721E3" w:rsidRDefault="006721E3">
      <w:pPr>
        <w:jc w:val="left"/>
        <w:rPr>
          <w:lang w:val="en-US"/>
        </w:rPr>
      </w:pPr>
      <w:r>
        <w:rPr>
          <w:lang w:val="en-US"/>
        </w:rPr>
        <w:br w:type="page"/>
      </w:r>
    </w:p>
    <w:p w:rsidR="00111498" w:rsidRDefault="00111498" w:rsidP="006721E3">
      <w:pPr>
        <w:pStyle w:val="Heading1"/>
        <w:rPr>
          <w:lang w:val="en-US"/>
        </w:rPr>
      </w:pPr>
      <w:r>
        <w:rPr>
          <w:lang w:val="en-US"/>
        </w:rPr>
        <w:lastRenderedPageBreak/>
        <w:t>Assignment 3: Charge carrier lifetime</w:t>
      </w:r>
    </w:p>
    <w:p w:rsidR="00C70B11" w:rsidRDefault="0015632E" w:rsidP="005A50BB">
      <w:pPr>
        <w:rPr>
          <w:lang w:val="en-US"/>
        </w:rPr>
      </w:pPr>
      <w:r>
        <w:rPr>
          <w:lang w:val="en-US"/>
        </w:rPr>
        <w:t>The charge carrier mobility measured during assignment 2 was 0.951 to 1.50 m</w:t>
      </w:r>
      <w:r>
        <w:rPr>
          <w:vertAlign w:val="superscript"/>
          <w:lang w:val="en-US"/>
        </w:rPr>
        <w:t>2</w:t>
      </w:r>
      <w:r>
        <w:rPr>
          <w:lang w:val="en-US"/>
        </w:rPr>
        <w:t>/V</w:t>
      </w:r>
      <w:r>
        <w:rPr>
          <w:rFonts w:cstheme="minorHAnsi"/>
          <w:lang w:val="en-US"/>
        </w:rPr>
        <w:t>·</w:t>
      </w:r>
      <w:r>
        <w:rPr>
          <w:lang w:val="en-US"/>
        </w:rPr>
        <w:t>s</w:t>
      </w:r>
      <w:r w:rsidR="00C70B11">
        <w:rPr>
          <w:lang w:val="en-US"/>
        </w:rPr>
        <w:t xml:space="preserve"> which translates to 9510-15000 </w:t>
      </w:r>
      <w:r w:rsidR="009438B2">
        <w:rPr>
          <w:lang w:val="en-US"/>
        </w:rPr>
        <w:t>c</w:t>
      </w:r>
      <w:r w:rsidR="00C70B11">
        <w:rPr>
          <w:lang w:val="en-US"/>
        </w:rPr>
        <w:t>m</w:t>
      </w:r>
      <w:r w:rsidR="00C70B11">
        <w:rPr>
          <w:vertAlign w:val="superscript"/>
          <w:lang w:val="en-US"/>
        </w:rPr>
        <w:t>2</w:t>
      </w:r>
      <w:r w:rsidR="00C70B11">
        <w:rPr>
          <w:lang w:val="en-US"/>
        </w:rPr>
        <w:t>/V</w:t>
      </w:r>
      <w:r w:rsidR="00C70B11">
        <w:rPr>
          <w:rFonts w:cstheme="minorHAnsi"/>
          <w:lang w:val="en-US"/>
        </w:rPr>
        <w:t>·</w:t>
      </w:r>
      <w:r w:rsidR="00C70B11">
        <w:rPr>
          <w:lang w:val="en-US"/>
        </w:rPr>
        <w:t>s</w:t>
      </w:r>
      <w:r>
        <w:rPr>
          <w:lang w:val="en-US"/>
        </w:rPr>
        <w:t xml:space="preserve"> whilst literature mentions values around 450 cm</w:t>
      </w:r>
      <w:r>
        <w:rPr>
          <w:vertAlign w:val="superscript"/>
          <w:lang w:val="en-US"/>
        </w:rPr>
        <w:t>2</w:t>
      </w:r>
      <w:r>
        <w:rPr>
          <w:lang w:val="en-US"/>
        </w:rPr>
        <w:t>/V</w:t>
      </w:r>
      <w:r>
        <w:rPr>
          <w:rFonts w:cstheme="minorHAnsi"/>
          <w:lang w:val="en-US"/>
        </w:rPr>
        <w:t>·</w:t>
      </w:r>
      <w:r>
        <w:rPr>
          <w:lang w:val="en-US"/>
        </w:rPr>
        <w:t>s</w:t>
      </w:r>
      <w:r w:rsidR="009438B2">
        <w:rPr>
          <w:lang w:val="en-US"/>
        </w:rPr>
        <w:t>. This difference can be due to the measurement errors when determining the electric field, which when compared does not show the behavior expected. Also effects from doping and impurities are of great influence on charge carrier behavior.</w:t>
      </w:r>
    </w:p>
    <w:p w:rsidR="009438B2" w:rsidRDefault="009438B2" w:rsidP="005A50BB">
      <w:pPr>
        <w:rPr>
          <w:lang w:val="en-US"/>
        </w:rPr>
      </w:pPr>
      <w:r>
        <w:rPr>
          <w:lang w:val="en-US"/>
        </w:rPr>
        <w:t>To calculate the charge carrier lifetime we can use the following equation</w:t>
      </w:r>
    </w:p>
    <w:p w:rsidR="009438B2" w:rsidRPr="009438B2" w:rsidRDefault="009438B2" w:rsidP="005A50BB">
      <w:pPr>
        <w:rPr>
          <w:rFonts w:eastAsiaTheme="minorEastAsia"/>
          <w:lang w:val="en-US"/>
        </w:rPr>
      </w:pPr>
      <m:oMathPara>
        <m:oMath>
          <m:r>
            <w:rPr>
              <w:rFonts w:ascii="Cambria Math" w:hAnsi="Cambria Math"/>
              <w:lang w:val="en-US"/>
            </w:rPr>
            <m:t>μ=</m:t>
          </m:r>
          <m:f>
            <m:fPr>
              <m:ctrlPr>
                <w:rPr>
                  <w:rFonts w:ascii="Cambria Math" w:hAnsi="Cambria Math"/>
                  <w:i/>
                  <w:lang w:val="en-US"/>
                </w:rPr>
              </m:ctrlPr>
            </m:fPr>
            <m:num>
              <m:r>
                <w:rPr>
                  <w:rFonts w:ascii="Cambria Math" w:hAnsi="Cambria Math"/>
                  <w:lang w:val="en-US"/>
                </w:rPr>
                <m:t>e∙τ</m:t>
              </m:r>
            </m:num>
            <m:den>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h</m:t>
                  </m:r>
                </m:sub>
                <m:sup>
                  <m:r>
                    <w:rPr>
                      <w:rFonts w:ascii="Cambria Math" w:hAnsi="Cambria Math"/>
                      <w:lang w:val="en-US"/>
                    </w:rPr>
                    <m:t>*</m:t>
                  </m:r>
                </m:sup>
              </m:sSubSup>
            </m:den>
          </m:f>
        </m:oMath>
      </m:oMathPara>
    </w:p>
    <w:p w:rsidR="009438B2" w:rsidRPr="007B1147" w:rsidRDefault="009438B2" w:rsidP="005A50BB">
      <w:pPr>
        <w:rPr>
          <w:rFonts w:eastAsiaTheme="minorEastAsia"/>
          <w:lang w:val="en-US"/>
        </w:rPr>
      </w:pPr>
      <w:r>
        <w:rPr>
          <w:rFonts w:eastAsiaTheme="minorEastAsia"/>
          <w:lang w:val="en-US"/>
        </w:rPr>
        <w:t xml:space="preserve">Using the measured value for </w:t>
      </w:r>
      <w:r>
        <w:rPr>
          <w:rFonts w:eastAsiaTheme="minorEastAsia" w:cstheme="minorHAnsi"/>
          <w:lang w:val="en-US"/>
        </w:rPr>
        <w:t>μ</w:t>
      </w:r>
      <w:r>
        <w:rPr>
          <w:rFonts w:eastAsiaTheme="minorEastAsia"/>
          <w:lang w:val="en-US"/>
        </w:rPr>
        <w:t xml:space="preserve">, i.e. </w:t>
      </w:r>
      <w:r w:rsidR="009137A9">
        <w:rPr>
          <w:rFonts w:eastAsiaTheme="minorEastAsia"/>
          <w:lang w:val="en-US"/>
        </w:rPr>
        <w:t>1</w:t>
      </w:r>
      <w:r>
        <w:rPr>
          <w:rFonts w:eastAsiaTheme="minorEastAsia"/>
          <w:lang w:val="en-US"/>
        </w:rPr>
        <w:t>21</w:t>
      </w:r>
      <w:r w:rsidR="009137A9">
        <w:rPr>
          <w:rFonts w:eastAsiaTheme="minorEastAsia"/>
          <w:lang w:val="en-US"/>
        </w:rPr>
        <w:t>00</w:t>
      </w:r>
      <w:r>
        <w:rPr>
          <w:rFonts w:eastAsiaTheme="minorEastAsia"/>
          <w:lang w:val="en-US"/>
        </w:rPr>
        <w:t xml:space="preserve"> </w:t>
      </w:r>
      <w:r w:rsidR="009137A9">
        <w:rPr>
          <w:rFonts w:eastAsiaTheme="minorEastAsia"/>
          <w:lang w:val="en-US"/>
        </w:rPr>
        <w:t>c</w:t>
      </w:r>
      <w:r>
        <w:rPr>
          <w:lang w:val="en-US"/>
        </w:rPr>
        <w:t>m</w:t>
      </w:r>
      <w:r>
        <w:rPr>
          <w:vertAlign w:val="superscript"/>
          <w:lang w:val="en-US"/>
        </w:rPr>
        <w:t>2</w:t>
      </w:r>
      <w:r>
        <w:rPr>
          <w:lang w:val="en-US"/>
        </w:rPr>
        <w:t>/V</w:t>
      </w:r>
      <w:r>
        <w:rPr>
          <w:rFonts w:cstheme="minorHAnsi"/>
          <w:lang w:val="en-US"/>
        </w:rPr>
        <w:t>·</w:t>
      </w:r>
      <w:r>
        <w:rPr>
          <w:lang w:val="en-US"/>
        </w:rPr>
        <w:t xml:space="preserve">s, and the effective mass of the holes which is </w:t>
      </w:r>
      <w:r w:rsidR="005F48BA">
        <w:rPr>
          <w:lang w:val="en-US"/>
        </w:rPr>
        <w:t>3</w:t>
      </w:r>
      <w:proofErr w:type="gramStart"/>
      <w:r w:rsidR="005F48BA">
        <w:rPr>
          <w:lang w:val="en-US"/>
        </w:rPr>
        <w:t>,</w:t>
      </w:r>
      <w:r w:rsidR="005F48BA" w:rsidRPr="005F48BA">
        <w:rPr>
          <w:lang w:val="en-US"/>
        </w:rPr>
        <w:t>52</w:t>
      </w:r>
      <w:proofErr w:type="gramEnd"/>
      <w:r w:rsidR="005F48BA" w:rsidRPr="005F48BA">
        <w:rPr>
          <w:rFonts w:cstheme="minorHAnsi"/>
          <w:lang w:val="en-US"/>
        </w:rPr>
        <w:t>·</w:t>
      </w:r>
      <w:r w:rsidR="005F48BA" w:rsidRPr="005F48BA">
        <w:rPr>
          <w:lang w:val="en-US"/>
        </w:rPr>
        <w:t>10</w:t>
      </w:r>
      <w:r w:rsidR="005F48BA" w:rsidRPr="005F48BA">
        <w:rPr>
          <w:vertAlign w:val="superscript"/>
          <w:lang w:val="en-US"/>
        </w:rPr>
        <w:t>-31</w:t>
      </w:r>
      <w:r w:rsidR="00531670">
        <w:rPr>
          <w:lang w:val="en-US"/>
        </w:rPr>
        <w:t xml:space="preserve"> </w:t>
      </w:r>
      <w:r w:rsidR="00127A24">
        <w:rPr>
          <w:lang w:val="en-US"/>
        </w:rPr>
        <w:t>combined with the charge of a single electron as 1.60</w:t>
      </w:r>
      <w:r w:rsidR="00127A24">
        <w:rPr>
          <w:rFonts w:cstheme="minorHAnsi"/>
          <w:lang w:val="en-US"/>
        </w:rPr>
        <w:t>·</w:t>
      </w:r>
      <w:r w:rsidR="00127A24">
        <w:rPr>
          <w:lang w:val="en-US"/>
        </w:rPr>
        <w:t>10</w:t>
      </w:r>
      <w:r w:rsidR="00127A24">
        <w:rPr>
          <w:vertAlign w:val="superscript"/>
          <w:lang w:val="en-US"/>
        </w:rPr>
        <w:t>-19</w:t>
      </w:r>
      <w:r w:rsidR="00277334">
        <w:rPr>
          <w:lang w:val="en-US"/>
        </w:rPr>
        <w:t xml:space="preserve">, resulting in a charge carrier lifetime of </w:t>
      </w:r>
      <w:r w:rsidR="00B5741D">
        <w:rPr>
          <w:lang w:val="en-US"/>
        </w:rPr>
        <w:t>27</w:t>
      </w:r>
      <w:r w:rsidR="00277334">
        <w:rPr>
          <w:lang w:val="en-US"/>
        </w:rPr>
        <w:t>ns. This value is determined first of all by the material itself, it is a material property. However greatly influenced by impurities, meaning it can be used as a measure to determine the purity of the material or the degree of doping.</w:t>
      </w:r>
    </w:p>
    <w:p w:rsidR="008250FB" w:rsidRDefault="006721E3" w:rsidP="006721E3">
      <w:pPr>
        <w:pStyle w:val="Heading1"/>
        <w:rPr>
          <w:lang w:val="en-US"/>
        </w:rPr>
      </w:pPr>
      <w:r>
        <w:rPr>
          <w:lang w:val="en-US"/>
        </w:rPr>
        <w:t>Conclusion</w:t>
      </w:r>
    </w:p>
    <w:p w:rsidR="006721E3" w:rsidRDefault="006721E3" w:rsidP="006721E3">
      <w:pPr>
        <w:rPr>
          <w:lang w:val="en-US"/>
        </w:rPr>
      </w:pPr>
      <w:r>
        <w:rPr>
          <w:lang w:val="en-US"/>
        </w:rPr>
        <w:t xml:space="preserve">The Haynes Shockley experiment was performed with a p-type semiconductor. Using a provided experimental setup the electric field resultant from a set potential was measured and found to be very sensitive to errors during measurement. The voltage used throughout the following experiments was </w:t>
      </w:r>
      <w:r w:rsidR="005175B3">
        <w:rPr>
          <w:lang w:val="en-US"/>
        </w:rPr>
        <w:t>10V</w:t>
      </w:r>
      <w:r>
        <w:rPr>
          <w:lang w:val="en-US"/>
        </w:rPr>
        <w:t xml:space="preserve"> which generates an electric field of 1052 V/m</w:t>
      </w:r>
      <w:r w:rsidR="00D931B8">
        <w:rPr>
          <w:lang w:val="en-US"/>
        </w:rPr>
        <w:t xml:space="preserve">. However compared to the other values for </w:t>
      </w:r>
    </w:p>
    <w:p w:rsidR="00D931B8" w:rsidRPr="00D931B8" w:rsidRDefault="00D931B8" w:rsidP="006721E3">
      <w:pPr>
        <w:rPr>
          <w:lang w:val="en-US"/>
        </w:rPr>
      </w:pPr>
      <w:r>
        <w:rPr>
          <w:lang w:val="en-US"/>
        </w:rPr>
        <w:t>These data were then used to determine charge carrier mobility which yielded values ranging from 0.951 to 1.50 m</w:t>
      </w:r>
      <w:r>
        <w:rPr>
          <w:vertAlign w:val="superscript"/>
          <w:lang w:val="en-US"/>
        </w:rPr>
        <w:t>2</w:t>
      </w:r>
      <w:r>
        <w:rPr>
          <w:lang w:val="en-US"/>
        </w:rPr>
        <w:t>/V</w:t>
      </w:r>
      <w:r>
        <w:rPr>
          <w:rFonts w:cstheme="minorHAnsi"/>
          <w:lang w:val="en-US"/>
        </w:rPr>
        <w:t>·</w:t>
      </w:r>
      <w:r>
        <w:rPr>
          <w:lang w:val="en-US"/>
        </w:rPr>
        <w:t xml:space="preserve">s. </w:t>
      </w:r>
      <w:r w:rsidR="00FE5B46">
        <w:rPr>
          <w:lang w:val="en-US"/>
        </w:rPr>
        <w:t xml:space="preserve">Using these values we were able to calculate the charge carrier life time, i.e. </w:t>
      </w:r>
      <w:r w:rsidR="00B5741D">
        <w:rPr>
          <w:lang w:val="en-US"/>
        </w:rPr>
        <w:t>27</w:t>
      </w:r>
      <w:r w:rsidR="00FE5B46">
        <w:rPr>
          <w:lang w:val="en-US"/>
        </w:rPr>
        <w:t>ns.</w:t>
      </w:r>
      <w:bookmarkStart w:id="9" w:name="_GoBack"/>
      <w:bookmarkEnd w:id="9"/>
    </w:p>
    <w:sectPr w:rsidR="00D931B8" w:rsidRPr="00D931B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201" w:rsidRDefault="002C0201" w:rsidP="00AB14D5">
      <w:pPr>
        <w:spacing w:after="0" w:line="240" w:lineRule="auto"/>
      </w:pPr>
      <w:r>
        <w:separator/>
      </w:r>
    </w:p>
  </w:endnote>
  <w:endnote w:type="continuationSeparator" w:id="0">
    <w:p w:rsidR="002C0201" w:rsidRDefault="002C0201" w:rsidP="00AB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4D5" w:rsidRDefault="00AB14D5">
    <w:pPr>
      <w:pStyle w:val="Footer"/>
    </w:pPr>
    <w:r>
      <w:tab/>
    </w:r>
    <w:r>
      <w:tab/>
    </w:r>
    <w:r>
      <w:fldChar w:fldCharType="begin"/>
    </w:r>
    <w:r>
      <w:instrText xml:space="preserve"> PAGE   \* MERGEFORMAT </w:instrText>
    </w:r>
    <w:r>
      <w:fldChar w:fldCharType="separate"/>
    </w:r>
    <w:r w:rsidR="00534777">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201" w:rsidRDefault="002C0201" w:rsidP="00AB14D5">
      <w:pPr>
        <w:spacing w:after="0" w:line="240" w:lineRule="auto"/>
      </w:pPr>
      <w:r>
        <w:separator/>
      </w:r>
    </w:p>
  </w:footnote>
  <w:footnote w:type="continuationSeparator" w:id="0">
    <w:p w:rsidR="002C0201" w:rsidRDefault="002C0201" w:rsidP="00AB1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4D5" w:rsidRPr="00AB14D5" w:rsidRDefault="00AB14D5">
    <w:pPr>
      <w:pStyle w:val="Header"/>
    </w:pPr>
    <w:r w:rsidRPr="00AB14D5">
      <w:t>J.Blaak (s1137603) J.Veenendaal (s1153757)</w:t>
    </w:r>
    <w:r>
      <w:tab/>
    </w:r>
    <w:r>
      <w:tab/>
      <w:t>24-3-2011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A40B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8F"/>
    <w:rsid w:val="00035DB3"/>
    <w:rsid w:val="00050243"/>
    <w:rsid w:val="0005158F"/>
    <w:rsid w:val="000B1C40"/>
    <w:rsid w:val="00111498"/>
    <w:rsid w:val="00115D74"/>
    <w:rsid w:val="00127A24"/>
    <w:rsid w:val="00145718"/>
    <w:rsid w:val="0015632E"/>
    <w:rsid w:val="001817DE"/>
    <w:rsid w:val="00187867"/>
    <w:rsid w:val="001A6172"/>
    <w:rsid w:val="001D371B"/>
    <w:rsid w:val="001E0187"/>
    <w:rsid w:val="001E382C"/>
    <w:rsid w:val="002058B2"/>
    <w:rsid w:val="00277334"/>
    <w:rsid w:val="0029139F"/>
    <w:rsid w:val="002C0201"/>
    <w:rsid w:val="00335706"/>
    <w:rsid w:val="00342C22"/>
    <w:rsid w:val="00352B45"/>
    <w:rsid w:val="003B3667"/>
    <w:rsid w:val="003E02C5"/>
    <w:rsid w:val="00417838"/>
    <w:rsid w:val="00492A10"/>
    <w:rsid w:val="004F0252"/>
    <w:rsid w:val="0051027B"/>
    <w:rsid w:val="005175B3"/>
    <w:rsid w:val="00524186"/>
    <w:rsid w:val="00531670"/>
    <w:rsid w:val="00534777"/>
    <w:rsid w:val="0054754F"/>
    <w:rsid w:val="005A50BB"/>
    <w:rsid w:val="005B4346"/>
    <w:rsid w:val="005E6E1B"/>
    <w:rsid w:val="005F48BA"/>
    <w:rsid w:val="006474C2"/>
    <w:rsid w:val="006721E3"/>
    <w:rsid w:val="00687EE4"/>
    <w:rsid w:val="00697647"/>
    <w:rsid w:val="006B2224"/>
    <w:rsid w:val="007221E9"/>
    <w:rsid w:val="007269C2"/>
    <w:rsid w:val="00743794"/>
    <w:rsid w:val="007747FC"/>
    <w:rsid w:val="007B1147"/>
    <w:rsid w:val="00824CA0"/>
    <w:rsid w:val="008250FB"/>
    <w:rsid w:val="00875F4B"/>
    <w:rsid w:val="008A3460"/>
    <w:rsid w:val="009137A9"/>
    <w:rsid w:val="009352DD"/>
    <w:rsid w:val="009438B2"/>
    <w:rsid w:val="00A04459"/>
    <w:rsid w:val="00A22BDE"/>
    <w:rsid w:val="00A4356D"/>
    <w:rsid w:val="00A9686C"/>
    <w:rsid w:val="00AA176B"/>
    <w:rsid w:val="00AB14D5"/>
    <w:rsid w:val="00AB1C25"/>
    <w:rsid w:val="00AB68AF"/>
    <w:rsid w:val="00B36C0B"/>
    <w:rsid w:val="00B5741D"/>
    <w:rsid w:val="00B61225"/>
    <w:rsid w:val="00B66127"/>
    <w:rsid w:val="00B739AA"/>
    <w:rsid w:val="00BB22C5"/>
    <w:rsid w:val="00BB2941"/>
    <w:rsid w:val="00BC0D91"/>
    <w:rsid w:val="00BD3713"/>
    <w:rsid w:val="00BD3C02"/>
    <w:rsid w:val="00BD45D9"/>
    <w:rsid w:val="00C06DDA"/>
    <w:rsid w:val="00C44310"/>
    <w:rsid w:val="00C70B11"/>
    <w:rsid w:val="00CA541C"/>
    <w:rsid w:val="00CC5956"/>
    <w:rsid w:val="00CD11C5"/>
    <w:rsid w:val="00CF6052"/>
    <w:rsid w:val="00D439FE"/>
    <w:rsid w:val="00D931B8"/>
    <w:rsid w:val="00DA24E0"/>
    <w:rsid w:val="00E02FFC"/>
    <w:rsid w:val="00E03BEC"/>
    <w:rsid w:val="00E93CA7"/>
    <w:rsid w:val="00EA082D"/>
    <w:rsid w:val="00EC1605"/>
    <w:rsid w:val="00F312CC"/>
    <w:rsid w:val="00F37E75"/>
    <w:rsid w:val="00F92811"/>
    <w:rsid w:val="00FE5B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CC"/>
    <w:pPr>
      <w:jc w:val="both"/>
    </w:pPr>
  </w:style>
  <w:style w:type="paragraph" w:styleId="Heading1">
    <w:name w:val="heading 1"/>
    <w:basedOn w:val="Normal"/>
    <w:next w:val="Normal"/>
    <w:link w:val="Heading1Char"/>
    <w:uiPriority w:val="9"/>
    <w:qFormat/>
    <w:rsid w:val="000515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4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64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12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12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12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12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12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12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5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15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15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15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15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4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1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74"/>
    <w:rPr>
      <w:rFonts w:ascii="Tahoma" w:hAnsi="Tahoma" w:cs="Tahoma"/>
      <w:sz w:val="16"/>
      <w:szCs w:val="16"/>
    </w:rPr>
  </w:style>
  <w:style w:type="character" w:customStyle="1" w:styleId="Heading3Char">
    <w:name w:val="Heading 3 Char"/>
    <w:basedOn w:val="DefaultParagraphFont"/>
    <w:link w:val="Heading3"/>
    <w:uiPriority w:val="9"/>
    <w:rsid w:val="0069764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03BEC"/>
    <w:pPr>
      <w:spacing w:line="240" w:lineRule="auto"/>
    </w:pPr>
    <w:rPr>
      <w:b/>
      <w:bCs/>
      <w:color w:val="4F81BD" w:themeColor="accent1"/>
      <w:sz w:val="18"/>
      <w:szCs w:val="18"/>
    </w:rPr>
  </w:style>
  <w:style w:type="table" w:styleId="TableGrid">
    <w:name w:val="Table Grid"/>
    <w:basedOn w:val="TableNormal"/>
    <w:uiPriority w:val="59"/>
    <w:rsid w:val="00687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7EE4"/>
    <w:rPr>
      <w:color w:val="808080"/>
    </w:rPr>
  </w:style>
  <w:style w:type="character" w:customStyle="1" w:styleId="Heading4Char">
    <w:name w:val="Heading 4 Char"/>
    <w:basedOn w:val="DefaultParagraphFont"/>
    <w:link w:val="Heading4"/>
    <w:uiPriority w:val="9"/>
    <w:semiHidden/>
    <w:rsid w:val="00B661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61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61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61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61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12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B14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4D5"/>
  </w:style>
  <w:style w:type="paragraph" w:styleId="Footer">
    <w:name w:val="footer"/>
    <w:basedOn w:val="Normal"/>
    <w:link w:val="FooterChar"/>
    <w:uiPriority w:val="99"/>
    <w:unhideWhenUsed/>
    <w:rsid w:val="00AB14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4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CC"/>
    <w:pPr>
      <w:jc w:val="both"/>
    </w:pPr>
  </w:style>
  <w:style w:type="paragraph" w:styleId="Heading1">
    <w:name w:val="heading 1"/>
    <w:basedOn w:val="Normal"/>
    <w:next w:val="Normal"/>
    <w:link w:val="Heading1Char"/>
    <w:uiPriority w:val="9"/>
    <w:qFormat/>
    <w:rsid w:val="000515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4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64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12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12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12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12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12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12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5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15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15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15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15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4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1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74"/>
    <w:rPr>
      <w:rFonts w:ascii="Tahoma" w:hAnsi="Tahoma" w:cs="Tahoma"/>
      <w:sz w:val="16"/>
      <w:szCs w:val="16"/>
    </w:rPr>
  </w:style>
  <w:style w:type="character" w:customStyle="1" w:styleId="Heading3Char">
    <w:name w:val="Heading 3 Char"/>
    <w:basedOn w:val="DefaultParagraphFont"/>
    <w:link w:val="Heading3"/>
    <w:uiPriority w:val="9"/>
    <w:rsid w:val="0069764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03BEC"/>
    <w:pPr>
      <w:spacing w:line="240" w:lineRule="auto"/>
    </w:pPr>
    <w:rPr>
      <w:b/>
      <w:bCs/>
      <w:color w:val="4F81BD" w:themeColor="accent1"/>
      <w:sz w:val="18"/>
      <w:szCs w:val="18"/>
    </w:rPr>
  </w:style>
  <w:style w:type="table" w:styleId="TableGrid">
    <w:name w:val="Table Grid"/>
    <w:basedOn w:val="TableNormal"/>
    <w:uiPriority w:val="59"/>
    <w:rsid w:val="00687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7EE4"/>
    <w:rPr>
      <w:color w:val="808080"/>
    </w:rPr>
  </w:style>
  <w:style w:type="character" w:customStyle="1" w:styleId="Heading4Char">
    <w:name w:val="Heading 4 Char"/>
    <w:basedOn w:val="DefaultParagraphFont"/>
    <w:link w:val="Heading4"/>
    <w:uiPriority w:val="9"/>
    <w:semiHidden/>
    <w:rsid w:val="00B661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61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61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61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61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12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B14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4D5"/>
  </w:style>
  <w:style w:type="paragraph" w:styleId="Footer">
    <w:name w:val="footer"/>
    <w:basedOn w:val="Normal"/>
    <w:link w:val="FooterChar"/>
    <w:uiPriority w:val="99"/>
    <w:unhideWhenUsed/>
    <w:rsid w:val="00AB14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Blaak\Dropbox\Nanotech%20Shared\Kwartiel%203\Inleiding%20Vastestof%20Fysica\Practicum%203%20-%20Haynes-Shockley\Joris%20Jeroen\Measurements%20-%20Joris%20Jeroen%20-%20maardango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Blaak\Dropbox\Nanotech%20Shared\Kwartiel%203\Inleiding%20Vastestof%20Fysica\Practicum%203%20-%20Haynes-Shockley\Joris%20Jeroen\Measurements%20-%20Joris%20Jeroen%20-%20maardango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Blaak\Dropbox\Nanotech%20Shared\Kwartiel%203\Inleiding%20Vastestof%20Fysica\Practicum%203%20-%20Haynes-Shockley\Joris%20Jeroen\Measurements%20-%20Joris%20Jeroen%20-%20maardango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Blaak\Dropbox\Nanotech%20Shared\Kwartiel%203\Inleiding%20Vastestof%20Fysica\Practicum%203%20-%20Haynes-Shockley\Joris%20Jeroen\meting%202%20met%20die%202%20piek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Blaak\Dropbox\Nanotech%20Shared\Kwartiel%203\Inleiding%20Vastestof%20Fysica\Practicum%203%20-%20Haynes-Shockley\Joris%20Jeroen\meting%202%20met%20die%202%20piek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Blaak\Dropbox\Nanotech%20Shared\Kwartiel%203\Inleiding%20Vastestof%20Fysica\Practicum%203%20-%20Haynes-Shockley\Joris%20Jeroen\meting%202%20met%20die%202%20piek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Potential:</a:t>
            </a:r>
            <a:r>
              <a:rPr lang="nl-NL" baseline="0"/>
              <a:t> 7,5 V</a:t>
            </a:r>
            <a:endParaRPr lang="nl-NL"/>
          </a:p>
        </c:rich>
      </c:tx>
      <c:overlay val="0"/>
    </c:title>
    <c:autoTitleDeleted val="0"/>
    <c:plotArea>
      <c:layout/>
      <c:scatterChart>
        <c:scatterStyle val="lineMarker"/>
        <c:varyColors val="0"/>
        <c:ser>
          <c:idx val="0"/>
          <c:order val="0"/>
          <c:tx>
            <c:v>C-C</c:v>
          </c:tx>
          <c:spPr>
            <a:ln w="28575">
              <a:noFill/>
            </a:ln>
          </c:spPr>
          <c:trendline>
            <c:trendlineType val="linear"/>
            <c:dispRSqr val="0"/>
            <c:dispEq val="1"/>
            <c:trendlineLbl>
              <c:layout>
                <c:manualLayout>
                  <c:x val="-0.16192077528770443"/>
                  <c:y val="-3.2921591248334138E-2"/>
                </c:manualLayout>
              </c:layout>
              <c:numFmt formatCode="General" sourceLinked="0"/>
            </c:trendlineLbl>
          </c:trendline>
          <c:xVal>
            <c:numRef>
              <c:f>Sheet1!$A$11:$A$18</c:f>
              <c:numCache>
                <c:formatCode>General</c:formatCode>
                <c:ptCount val="8"/>
                <c:pt idx="0">
                  <c:v>8.1999999999999993</c:v>
                </c:pt>
                <c:pt idx="1">
                  <c:v>8.4</c:v>
                </c:pt>
                <c:pt idx="2">
                  <c:v>9</c:v>
                </c:pt>
                <c:pt idx="3">
                  <c:v>9.6</c:v>
                </c:pt>
                <c:pt idx="4">
                  <c:v>10</c:v>
                </c:pt>
                <c:pt idx="5">
                  <c:v>10.6</c:v>
                </c:pt>
                <c:pt idx="6">
                  <c:v>11</c:v>
                </c:pt>
                <c:pt idx="7">
                  <c:v>12</c:v>
                </c:pt>
              </c:numCache>
            </c:numRef>
          </c:xVal>
          <c:yVal>
            <c:numRef>
              <c:f>Sheet1!$C$11:$C$18</c:f>
              <c:numCache>
                <c:formatCode>General</c:formatCode>
                <c:ptCount val="8"/>
                <c:pt idx="0">
                  <c:v>0.13600000000000001</c:v>
                </c:pt>
                <c:pt idx="1">
                  <c:v>0.152</c:v>
                </c:pt>
                <c:pt idx="2">
                  <c:v>0.184</c:v>
                </c:pt>
                <c:pt idx="3">
                  <c:v>0.23200000000000001</c:v>
                </c:pt>
                <c:pt idx="4">
                  <c:v>0.28000000000000003</c:v>
                </c:pt>
                <c:pt idx="5">
                  <c:v>0.32800000000000001</c:v>
                </c:pt>
                <c:pt idx="6">
                  <c:v>0.36799999999999999</c:v>
                </c:pt>
                <c:pt idx="7">
                  <c:v>0.432</c:v>
                </c:pt>
              </c:numCache>
            </c:numRef>
          </c:yVal>
          <c:smooth val="0"/>
        </c:ser>
        <c:ser>
          <c:idx val="1"/>
          <c:order val="1"/>
          <c:tx>
            <c:v>E-E</c:v>
          </c:tx>
          <c:spPr>
            <a:ln w="28575">
              <a:noFill/>
            </a:ln>
          </c:spPr>
          <c:trendline>
            <c:trendlineType val="linear"/>
            <c:dispRSqr val="0"/>
            <c:dispEq val="1"/>
            <c:trendlineLbl>
              <c:layout>
                <c:manualLayout>
                  <c:x val="0.22574394934477762"/>
                  <c:y val="0.26823692968212559"/>
                </c:manualLayout>
              </c:layout>
              <c:numFmt formatCode="General" sourceLinked="0"/>
            </c:trendlineLbl>
          </c:trendline>
          <c:xVal>
            <c:numRef>
              <c:f>Sheet1!$E$8:$E$12</c:f>
              <c:numCache>
                <c:formatCode>General</c:formatCode>
                <c:ptCount val="5"/>
                <c:pt idx="0">
                  <c:v>6.4</c:v>
                </c:pt>
                <c:pt idx="1">
                  <c:v>7.2</c:v>
                </c:pt>
                <c:pt idx="2">
                  <c:v>8.56</c:v>
                </c:pt>
                <c:pt idx="3">
                  <c:v>9.52</c:v>
                </c:pt>
                <c:pt idx="4">
                  <c:v>10.34</c:v>
                </c:pt>
              </c:numCache>
            </c:numRef>
          </c:xVal>
          <c:yVal>
            <c:numRef>
              <c:f>Sheet1!$G$8:$G$12</c:f>
              <c:numCache>
                <c:formatCode>General</c:formatCode>
                <c:ptCount val="5"/>
                <c:pt idx="0">
                  <c:v>0.13800000000000001</c:v>
                </c:pt>
                <c:pt idx="1">
                  <c:v>0.192</c:v>
                </c:pt>
                <c:pt idx="2">
                  <c:v>0.32</c:v>
                </c:pt>
                <c:pt idx="3">
                  <c:v>0.40799999999999997</c:v>
                </c:pt>
                <c:pt idx="4">
                  <c:v>0.46400000000000002</c:v>
                </c:pt>
              </c:numCache>
            </c:numRef>
          </c:yVal>
          <c:smooth val="0"/>
        </c:ser>
        <c:dLbls>
          <c:showLegendKey val="0"/>
          <c:showVal val="0"/>
          <c:showCatName val="0"/>
          <c:showSerName val="0"/>
          <c:showPercent val="0"/>
          <c:showBubbleSize val="0"/>
        </c:dLbls>
        <c:axId val="47683200"/>
        <c:axId val="120922688"/>
      </c:scatterChart>
      <c:valAx>
        <c:axId val="47683200"/>
        <c:scaling>
          <c:orientation val="minMax"/>
          <c:max val="13"/>
          <c:min val="5"/>
        </c:scaling>
        <c:delete val="0"/>
        <c:axPos val="b"/>
        <c:title>
          <c:tx>
            <c:rich>
              <a:bodyPr/>
              <a:lstStyle/>
              <a:p>
                <a:pPr>
                  <a:defRPr/>
                </a:pPr>
                <a:r>
                  <a:rPr lang="nl-NL"/>
                  <a:t>Injection pulse voltage</a:t>
                </a:r>
              </a:p>
            </c:rich>
          </c:tx>
          <c:overlay val="0"/>
        </c:title>
        <c:numFmt formatCode="General" sourceLinked="1"/>
        <c:majorTickMark val="out"/>
        <c:minorTickMark val="none"/>
        <c:tickLblPos val="nextTo"/>
        <c:crossAx val="120922688"/>
        <c:crosses val="autoZero"/>
        <c:crossBetween val="midCat"/>
      </c:valAx>
      <c:valAx>
        <c:axId val="120922688"/>
        <c:scaling>
          <c:orientation val="minMax"/>
        </c:scaling>
        <c:delete val="0"/>
        <c:axPos val="l"/>
        <c:majorGridlines/>
        <c:title>
          <c:tx>
            <c:rich>
              <a:bodyPr rot="-5400000" vert="horz"/>
              <a:lstStyle/>
              <a:p>
                <a:pPr>
                  <a:defRPr/>
                </a:pPr>
                <a:r>
                  <a:rPr lang="nl-NL"/>
                  <a:t>Differential probe voltage</a:t>
                </a:r>
              </a:p>
            </c:rich>
          </c:tx>
          <c:overlay val="0"/>
        </c:title>
        <c:numFmt formatCode="General" sourceLinked="1"/>
        <c:majorTickMark val="out"/>
        <c:minorTickMark val="none"/>
        <c:tickLblPos val="nextTo"/>
        <c:crossAx val="476832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Potential: 10 V</a:t>
            </a:r>
          </a:p>
        </c:rich>
      </c:tx>
      <c:overlay val="0"/>
    </c:title>
    <c:autoTitleDeleted val="0"/>
    <c:plotArea>
      <c:layout/>
      <c:scatterChart>
        <c:scatterStyle val="lineMarker"/>
        <c:varyColors val="0"/>
        <c:ser>
          <c:idx val="0"/>
          <c:order val="0"/>
          <c:tx>
            <c:strRef>
              <c:f>Sheet1!$B$20</c:f>
              <c:strCache>
                <c:ptCount val="1"/>
                <c:pt idx="0">
                  <c:v>E-E</c:v>
                </c:pt>
              </c:strCache>
            </c:strRef>
          </c:tx>
          <c:spPr>
            <a:ln w="28575">
              <a:noFill/>
            </a:ln>
          </c:spPr>
          <c:trendline>
            <c:trendlineType val="linear"/>
            <c:dispRSqr val="0"/>
            <c:dispEq val="1"/>
            <c:trendlineLbl>
              <c:layout>
                <c:manualLayout>
                  <c:x val="0.12868996251666978"/>
                  <c:y val="0.23699228359556129"/>
                </c:manualLayout>
              </c:layout>
              <c:numFmt formatCode="General" sourceLinked="0"/>
            </c:trendlineLbl>
          </c:trendline>
          <c:xVal>
            <c:numRef>
              <c:f>Sheet1!$A$25:$A$29</c:f>
              <c:numCache>
                <c:formatCode>General</c:formatCode>
                <c:ptCount val="5"/>
                <c:pt idx="0">
                  <c:v>8</c:v>
                </c:pt>
                <c:pt idx="1">
                  <c:v>9</c:v>
                </c:pt>
                <c:pt idx="2">
                  <c:v>10</c:v>
                </c:pt>
                <c:pt idx="3">
                  <c:v>11</c:v>
                </c:pt>
                <c:pt idx="4">
                  <c:v>12</c:v>
                </c:pt>
              </c:numCache>
            </c:numRef>
          </c:xVal>
          <c:yVal>
            <c:numRef>
              <c:f>Sheet1!$C$25:$C$29</c:f>
              <c:numCache>
                <c:formatCode>General</c:formatCode>
                <c:ptCount val="5"/>
                <c:pt idx="0">
                  <c:v>0.04</c:v>
                </c:pt>
                <c:pt idx="1">
                  <c:v>8.7999999999999995E-2</c:v>
                </c:pt>
                <c:pt idx="2">
                  <c:v>0.14799999999999999</c:v>
                </c:pt>
                <c:pt idx="3">
                  <c:v>0.23200000000000001</c:v>
                </c:pt>
                <c:pt idx="4">
                  <c:v>0.314</c:v>
                </c:pt>
              </c:numCache>
            </c:numRef>
          </c:yVal>
          <c:smooth val="0"/>
        </c:ser>
        <c:ser>
          <c:idx val="1"/>
          <c:order val="1"/>
          <c:tx>
            <c:strRef>
              <c:f>Sheet1!$F$20</c:f>
              <c:strCache>
                <c:ptCount val="1"/>
                <c:pt idx="0">
                  <c:v>C-C</c:v>
                </c:pt>
              </c:strCache>
            </c:strRef>
          </c:tx>
          <c:spPr>
            <a:ln w="28575">
              <a:noFill/>
            </a:ln>
          </c:spPr>
          <c:trendline>
            <c:trendlineType val="linear"/>
            <c:dispRSqr val="0"/>
            <c:dispEq val="1"/>
            <c:trendlineLbl>
              <c:numFmt formatCode="General" sourceLinked="0"/>
            </c:trendlineLbl>
          </c:trendline>
          <c:xVal>
            <c:numRef>
              <c:f>Sheet1!$E$25:$E$30</c:f>
              <c:numCache>
                <c:formatCode>General</c:formatCode>
                <c:ptCount val="6"/>
                <c:pt idx="0">
                  <c:v>7</c:v>
                </c:pt>
                <c:pt idx="1">
                  <c:v>7.8</c:v>
                </c:pt>
                <c:pt idx="2">
                  <c:v>9</c:v>
                </c:pt>
                <c:pt idx="3">
                  <c:v>10.199999999999999</c:v>
                </c:pt>
                <c:pt idx="4">
                  <c:v>11.2</c:v>
                </c:pt>
                <c:pt idx="5">
                  <c:v>12</c:v>
                </c:pt>
              </c:numCache>
            </c:numRef>
          </c:xVal>
          <c:yVal>
            <c:numRef>
              <c:f>Sheet1!$G$25:$G$30</c:f>
              <c:numCache>
                <c:formatCode>General</c:formatCode>
                <c:ptCount val="6"/>
                <c:pt idx="0">
                  <c:v>2.8000000000000001E-2</c:v>
                </c:pt>
                <c:pt idx="1">
                  <c:v>9.1999999999999998E-2</c:v>
                </c:pt>
                <c:pt idx="2">
                  <c:v>0.152</c:v>
                </c:pt>
                <c:pt idx="3">
                  <c:v>0.248</c:v>
                </c:pt>
                <c:pt idx="4">
                  <c:v>0.30399999999999999</c:v>
                </c:pt>
                <c:pt idx="5">
                  <c:v>0.40799999999999997</c:v>
                </c:pt>
              </c:numCache>
            </c:numRef>
          </c:yVal>
          <c:smooth val="0"/>
        </c:ser>
        <c:dLbls>
          <c:showLegendKey val="0"/>
          <c:showVal val="0"/>
          <c:showCatName val="0"/>
          <c:showSerName val="0"/>
          <c:showPercent val="0"/>
          <c:showBubbleSize val="0"/>
        </c:dLbls>
        <c:axId val="120924416"/>
        <c:axId val="120924992"/>
      </c:scatterChart>
      <c:valAx>
        <c:axId val="120924416"/>
        <c:scaling>
          <c:orientation val="minMax"/>
          <c:max val="13"/>
          <c:min val="5"/>
        </c:scaling>
        <c:delete val="0"/>
        <c:axPos val="b"/>
        <c:title>
          <c:tx>
            <c:rich>
              <a:bodyPr/>
              <a:lstStyle/>
              <a:p>
                <a:pPr>
                  <a:defRPr/>
                </a:pPr>
                <a:r>
                  <a:rPr lang="nl-NL"/>
                  <a:t>Injection pulse voltage</a:t>
                </a:r>
              </a:p>
            </c:rich>
          </c:tx>
          <c:overlay val="0"/>
        </c:title>
        <c:numFmt formatCode="General" sourceLinked="1"/>
        <c:majorTickMark val="out"/>
        <c:minorTickMark val="none"/>
        <c:tickLblPos val="nextTo"/>
        <c:crossAx val="120924992"/>
        <c:crosses val="autoZero"/>
        <c:crossBetween val="midCat"/>
      </c:valAx>
      <c:valAx>
        <c:axId val="120924992"/>
        <c:scaling>
          <c:orientation val="minMax"/>
        </c:scaling>
        <c:delete val="0"/>
        <c:axPos val="l"/>
        <c:majorGridlines/>
        <c:title>
          <c:tx>
            <c:rich>
              <a:bodyPr rot="-5400000" vert="horz"/>
              <a:lstStyle/>
              <a:p>
                <a:pPr>
                  <a:defRPr/>
                </a:pPr>
                <a:r>
                  <a:rPr lang="nl-NL"/>
                  <a:t>Differential pulse</a:t>
                </a:r>
                <a:r>
                  <a:rPr lang="nl-NL" baseline="0"/>
                  <a:t> voltage</a:t>
                </a:r>
                <a:endParaRPr lang="nl-NL"/>
              </a:p>
            </c:rich>
          </c:tx>
          <c:overlay val="0"/>
        </c:title>
        <c:numFmt formatCode="General" sourceLinked="1"/>
        <c:majorTickMark val="out"/>
        <c:minorTickMark val="none"/>
        <c:tickLblPos val="nextTo"/>
        <c:crossAx val="12092441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Potential 12,5</a:t>
            </a:r>
            <a:r>
              <a:rPr lang="nl-NL" baseline="0"/>
              <a:t> V</a:t>
            </a:r>
            <a:endParaRPr lang="nl-NL"/>
          </a:p>
        </c:rich>
      </c:tx>
      <c:overlay val="0"/>
    </c:title>
    <c:autoTitleDeleted val="0"/>
    <c:plotArea>
      <c:layout/>
      <c:scatterChart>
        <c:scatterStyle val="lineMarker"/>
        <c:varyColors val="0"/>
        <c:ser>
          <c:idx val="0"/>
          <c:order val="0"/>
          <c:tx>
            <c:strRef>
              <c:f>Sheet1!$B$20</c:f>
              <c:strCache>
                <c:ptCount val="1"/>
                <c:pt idx="0">
                  <c:v>E-E</c:v>
                </c:pt>
              </c:strCache>
            </c:strRef>
          </c:tx>
          <c:spPr>
            <a:ln w="28575">
              <a:noFill/>
            </a:ln>
          </c:spPr>
          <c:trendline>
            <c:trendlineType val="linear"/>
            <c:dispRSqr val="0"/>
            <c:dispEq val="1"/>
            <c:trendlineLbl>
              <c:layout>
                <c:manualLayout>
                  <c:x val="0.13223075240594925"/>
                  <c:y val="0.19291848935549724"/>
                </c:manualLayout>
              </c:layout>
              <c:numFmt formatCode="General" sourceLinked="0"/>
            </c:trendlineLbl>
          </c:trendline>
          <c:xVal>
            <c:numRef>
              <c:f>Sheet1!$A$38:$A$40</c:f>
              <c:numCache>
                <c:formatCode>General</c:formatCode>
                <c:ptCount val="3"/>
                <c:pt idx="0">
                  <c:v>10</c:v>
                </c:pt>
                <c:pt idx="1">
                  <c:v>11</c:v>
                </c:pt>
                <c:pt idx="2">
                  <c:v>12</c:v>
                </c:pt>
              </c:numCache>
            </c:numRef>
          </c:xVal>
          <c:yVal>
            <c:numRef>
              <c:f>Sheet1!$C$38:$C$40</c:f>
              <c:numCache>
                <c:formatCode>General</c:formatCode>
                <c:ptCount val="3"/>
                <c:pt idx="0">
                  <c:v>7.1999999999999995E-2</c:v>
                </c:pt>
                <c:pt idx="1">
                  <c:v>0.14399999999999999</c:v>
                </c:pt>
                <c:pt idx="2">
                  <c:v>0.216</c:v>
                </c:pt>
              </c:numCache>
            </c:numRef>
          </c:yVal>
          <c:smooth val="0"/>
        </c:ser>
        <c:ser>
          <c:idx val="1"/>
          <c:order val="1"/>
          <c:tx>
            <c:strRef>
              <c:f>Sheet1!$F$20</c:f>
              <c:strCache>
                <c:ptCount val="1"/>
                <c:pt idx="0">
                  <c:v>C-C</c:v>
                </c:pt>
              </c:strCache>
            </c:strRef>
          </c:tx>
          <c:spPr>
            <a:ln w="28575">
              <a:noFill/>
            </a:ln>
          </c:spPr>
          <c:trendline>
            <c:trendlineType val="linear"/>
            <c:dispRSqr val="0"/>
            <c:dispEq val="1"/>
            <c:trendlineLbl>
              <c:numFmt formatCode="General" sourceLinked="0"/>
            </c:trendlineLbl>
          </c:trendline>
          <c:xVal>
            <c:numRef>
              <c:f>Sheet1!$E$39:$E$44</c:f>
              <c:numCache>
                <c:formatCode>General</c:formatCode>
                <c:ptCount val="6"/>
                <c:pt idx="0">
                  <c:v>7.8</c:v>
                </c:pt>
                <c:pt idx="1">
                  <c:v>8.8000000000000007</c:v>
                </c:pt>
                <c:pt idx="2">
                  <c:v>9.6</c:v>
                </c:pt>
                <c:pt idx="3">
                  <c:v>10.199999999999999</c:v>
                </c:pt>
                <c:pt idx="4">
                  <c:v>11</c:v>
                </c:pt>
                <c:pt idx="5">
                  <c:v>11.8</c:v>
                </c:pt>
              </c:numCache>
            </c:numRef>
          </c:xVal>
          <c:yVal>
            <c:numRef>
              <c:f>Sheet1!$G$39:$G$44</c:f>
              <c:numCache>
                <c:formatCode>General</c:formatCode>
                <c:ptCount val="6"/>
                <c:pt idx="0">
                  <c:v>3.2000000000000001E-2</c:v>
                </c:pt>
                <c:pt idx="1">
                  <c:v>6.4000000000000001E-2</c:v>
                </c:pt>
                <c:pt idx="2">
                  <c:v>0.13600000000000001</c:v>
                </c:pt>
                <c:pt idx="3">
                  <c:v>0.16</c:v>
                </c:pt>
                <c:pt idx="4">
                  <c:v>0.25600000000000001</c:v>
                </c:pt>
                <c:pt idx="5">
                  <c:v>0.32</c:v>
                </c:pt>
              </c:numCache>
            </c:numRef>
          </c:yVal>
          <c:smooth val="0"/>
        </c:ser>
        <c:dLbls>
          <c:showLegendKey val="0"/>
          <c:showVal val="0"/>
          <c:showCatName val="0"/>
          <c:showSerName val="0"/>
          <c:showPercent val="0"/>
          <c:showBubbleSize val="0"/>
        </c:dLbls>
        <c:axId val="120926720"/>
        <c:axId val="120927296"/>
      </c:scatterChart>
      <c:valAx>
        <c:axId val="120926720"/>
        <c:scaling>
          <c:orientation val="minMax"/>
          <c:max val="13"/>
          <c:min val="5"/>
        </c:scaling>
        <c:delete val="0"/>
        <c:axPos val="b"/>
        <c:title>
          <c:tx>
            <c:rich>
              <a:bodyPr/>
              <a:lstStyle/>
              <a:p>
                <a:pPr>
                  <a:defRPr/>
                </a:pPr>
                <a:r>
                  <a:rPr lang="nl-NL"/>
                  <a:t>Injection</a:t>
                </a:r>
                <a:r>
                  <a:rPr lang="nl-NL" baseline="0"/>
                  <a:t> pulse voltage</a:t>
                </a:r>
                <a:endParaRPr lang="nl-NL"/>
              </a:p>
            </c:rich>
          </c:tx>
          <c:overlay val="0"/>
        </c:title>
        <c:numFmt formatCode="General" sourceLinked="1"/>
        <c:majorTickMark val="out"/>
        <c:minorTickMark val="none"/>
        <c:tickLblPos val="nextTo"/>
        <c:crossAx val="120927296"/>
        <c:crosses val="autoZero"/>
        <c:crossBetween val="midCat"/>
      </c:valAx>
      <c:valAx>
        <c:axId val="120927296"/>
        <c:scaling>
          <c:orientation val="minMax"/>
        </c:scaling>
        <c:delete val="0"/>
        <c:axPos val="l"/>
        <c:majorGridlines/>
        <c:title>
          <c:tx>
            <c:rich>
              <a:bodyPr rot="-5400000" vert="horz"/>
              <a:lstStyle/>
              <a:p>
                <a:pPr>
                  <a:defRPr/>
                </a:pPr>
                <a:r>
                  <a:rPr lang="nl-NL"/>
                  <a:t>Differential probe voltage</a:t>
                </a:r>
              </a:p>
            </c:rich>
          </c:tx>
          <c:overlay val="0"/>
        </c:title>
        <c:numFmt formatCode="General" sourceLinked="1"/>
        <c:majorTickMark val="out"/>
        <c:minorTickMark val="none"/>
        <c:tickLblPos val="nextTo"/>
        <c:crossAx val="12092672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Sheet1!$G$4</c:f>
              <c:strCache>
                <c:ptCount val="1"/>
                <c:pt idx="0">
                  <c:v>Travel time (s)</c:v>
                </c:pt>
              </c:strCache>
            </c:strRef>
          </c:tx>
          <c:spPr>
            <a:ln w="28575">
              <a:noFill/>
            </a:ln>
          </c:spPr>
          <c:xVal>
            <c:numRef>
              <c:f>Sheet1!$A$5:$A$13</c:f>
              <c:numCache>
                <c:formatCode>General</c:formatCode>
                <c:ptCount val="9"/>
                <c:pt idx="0">
                  <c:v>3.84</c:v>
                </c:pt>
                <c:pt idx="1">
                  <c:v>5.68</c:v>
                </c:pt>
                <c:pt idx="2">
                  <c:v>6.56</c:v>
                </c:pt>
                <c:pt idx="3">
                  <c:v>8.1999999999999993</c:v>
                </c:pt>
                <c:pt idx="4">
                  <c:v>9</c:v>
                </c:pt>
                <c:pt idx="5">
                  <c:v>9.8000000000000007</c:v>
                </c:pt>
                <c:pt idx="6">
                  <c:v>10.8</c:v>
                </c:pt>
                <c:pt idx="7">
                  <c:v>11.5</c:v>
                </c:pt>
                <c:pt idx="8">
                  <c:v>12.4</c:v>
                </c:pt>
              </c:numCache>
            </c:numRef>
          </c:xVal>
          <c:yVal>
            <c:numRef>
              <c:f>Sheet1!$G$5:$G$13</c:f>
              <c:numCache>
                <c:formatCode>0.00E+00</c:formatCode>
                <c:ptCount val="9"/>
                <c:pt idx="0">
                  <c:v>4.7850000000000006E-7</c:v>
                </c:pt>
                <c:pt idx="1">
                  <c:v>4.82E-7</c:v>
                </c:pt>
                <c:pt idx="2">
                  <c:v>4.8800000000000003E-7</c:v>
                </c:pt>
                <c:pt idx="3">
                  <c:v>5.2E-7</c:v>
                </c:pt>
                <c:pt idx="4">
                  <c:v>5.3000000000000001E-7</c:v>
                </c:pt>
                <c:pt idx="5">
                  <c:v>5.5000000000000003E-7</c:v>
                </c:pt>
                <c:pt idx="6">
                  <c:v>6.0000000000000008E-7</c:v>
                </c:pt>
                <c:pt idx="7">
                  <c:v>6.5500000000000008E-7</c:v>
                </c:pt>
                <c:pt idx="8">
                  <c:v>7.9000000000000006E-7</c:v>
                </c:pt>
              </c:numCache>
            </c:numRef>
          </c:yVal>
          <c:smooth val="0"/>
        </c:ser>
        <c:dLbls>
          <c:showLegendKey val="0"/>
          <c:showVal val="0"/>
          <c:showCatName val="0"/>
          <c:showSerName val="0"/>
          <c:showPercent val="0"/>
          <c:showBubbleSize val="0"/>
        </c:dLbls>
        <c:axId val="120929024"/>
        <c:axId val="120929600"/>
      </c:scatterChart>
      <c:scatterChart>
        <c:scatterStyle val="lineMarker"/>
        <c:varyColors val="0"/>
        <c:ser>
          <c:idx val="1"/>
          <c:order val="1"/>
          <c:tx>
            <c:strRef>
              <c:f>Sheet1!$H$4</c:f>
              <c:strCache>
                <c:ptCount val="1"/>
                <c:pt idx="0">
                  <c:v>Mobility (m2/V.s)</c:v>
                </c:pt>
              </c:strCache>
            </c:strRef>
          </c:tx>
          <c:spPr>
            <a:ln w="28575">
              <a:noFill/>
            </a:ln>
          </c:spPr>
          <c:xVal>
            <c:numRef>
              <c:f>Sheet1!$A$5:$A$13</c:f>
              <c:numCache>
                <c:formatCode>General</c:formatCode>
                <c:ptCount val="9"/>
                <c:pt idx="0">
                  <c:v>3.84</c:v>
                </c:pt>
                <c:pt idx="1">
                  <c:v>5.68</c:v>
                </c:pt>
                <c:pt idx="2">
                  <c:v>6.56</c:v>
                </c:pt>
                <c:pt idx="3">
                  <c:v>8.1999999999999993</c:v>
                </c:pt>
                <c:pt idx="4">
                  <c:v>9</c:v>
                </c:pt>
                <c:pt idx="5">
                  <c:v>9.8000000000000007</c:v>
                </c:pt>
                <c:pt idx="6">
                  <c:v>10.8</c:v>
                </c:pt>
                <c:pt idx="7">
                  <c:v>11.5</c:v>
                </c:pt>
                <c:pt idx="8">
                  <c:v>12.4</c:v>
                </c:pt>
              </c:numCache>
            </c:numRef>
          </c:xVal>
          <c:yVal>
            <c:numRef>
              <c:f>Sheet1!$H$5:$H$13</c:f>
              <c:numCache>
                <c:formatCode>0.00E+00</c:formatCode>
                <c:ptCount val="9"/>
                <c:pt idx="0">
                  <c:v>1.1919377331728189</c:v>
                </c:pt>
                <c:pt idx="1">
                  <c:v>1.1832825836580785</c:v>
                </c:pt>
                <c:pt idx="2">
                  <c:v>1.1687340273016267</c:v>
                </c:pt>
                <c:pt idx="3">
                  <c:v>1.0968119333138342</c:v>
                </c:pt>
                <c:pt idx="4">
                  <c:v>1.0761173685343279</c:v>
                </c:pt>
                <c:pt idx="5">
                  <c:v>1.0369858278603523</c:v>
                </c:pt>
                <c:pt idx="6">
                  <c:v>0.95057034220532299</c:v>
                </c:pt>
                <c:pt idx="7">
                  <c:v>0.87075145850869273</c:v>
                </c:pt>
                <c:pt idx="8">
                  <c:v>0.72195215863695417</c:v>
                </c:pt>
              </c:numCache>
            </c:numRef>
          </c:yVal>
          <c:smooth val="0"/>
        </c:ser>
        <c:dLbls>
          <c:showLegendKey val="0"/>
          <c:showVal val="0"/>
          <c:showCatName val="0"/>
          <c:showSerName val="0"/>
          <c:showPercent val="0"/>
          <c:showBubbleSize val="0"/>
        </c:dLbls>
        <c:axId val="200417856"/>
        <c:axId val="200417280"/>
      </c:scatterChart>
      <c:valAx>
        <c:axId val="120929024"/>
        <c:scaling>
          <c:orientation val="minMax"/>
        </c:scaling>
        <c:delete val="0"/>
        <c:axPos val="b"/>
        <c:title>
          <c:tx>
            <c:rich>
              <a:bodyPr/>
              <a:lstStyle/>
              <a:p>
                <a:pPr>
                  <a:defRPr/>
                </a:pPr>
                <a:r>
                  <a:rPr lang="nl-NL"/>
                  <a:t>Pulse voltage</a:t>
                </a:r>
              </a:p>
            </c:rich>
          </c:tx>
          <c:overlay val="0"/>
        </c:title>
        <c:numFmt formatCode="General" sourceLinked="1"/>
        <c:majorTickMark val="out"/>
        <c:minorTickMark val="none"/>
        <c:tickLblPos val="nextTo"/>
        <c:crossAx val="120929600"/>
        <c:crosses val="autoZero"/>
        <c:crossBetween val="midCat"/>
      </c:valAx>
      <c:valAx>
        <c:axId val="120929600"/>
        <c:scaling>
          <c:orientation val="minMax"/>
        </c:scaling>
        <c:delete val="0"/>
        <c:axPos val="l"/>
        <c:majorGridlines/>
        <c:title>
          <c:tx>
            <c:rich>
              <a:bodyPr rot="-5400000" vert="horz"/>
              <a:lstStyle/>
              <a:p>
                <a:pPr>
                  <a:defRPr/>
                </a:pPr>
                <a:r>
                  <a:rPr lang="nl-NL"/>
                  <a:t>Travel time (s)</a:t>
                </a:r>
              </a:p>
            </c:rich>
          </c:tx>
          <c:overlay val="0"/>
        </c:title>
        <c:numFmt formatCode="0.00E+00" sourceLinked="1"/>
        <c:majorTickMark val="out"/>
        <c:minorTickMark val="none"/>
        <c:tickLblPos val="nextTo"/>
        <c:crossAx val="120929024"/>
        <c:crosses val="autoZero"/>
        <c:crossBetween val="midCat"/>
      </c:valAx>
      <c:valAx>
        <c:axId val="200417280"/>
        <c:scaling>
          <c:orientation val="minMax"/>
        </c:scaling>
        <c:delete val="0"/>
        <c:axPos val="r"/>
        <c:title>
          <c:tx>
            <c:rich>
              <a:bodyPr rot="-5400000" vert="horz"/>
              <a:lstStyle/>
              <a:p>
                <a:pPr>
                  <a:defRPr/>
                </a:pPr>
                <a:r>
                  <a:rPr lang="nl-NL"/>
                  <a:t>Mobitlity</a:t>
                </a:r>
                <a:r>
                  <a:rPr lang="nl-NL" baseline="0"/>
                  <a:t> (m2/V.s)</a:t>
                </a:r>
                <a:endParaRPr lang="nl-NL"/>
              </a:p>
            </c:rich>
          </c:tx>
          <c:overlay val="0"/>
        </c:title>
        <c:numFmt formatCode="0.00E+00" sourceLinked="1"/>
        <c:majorTickMark val="out"/>
        <c:minorTickMark val="none"/>
        <c:tickLblPos val="nextTo"/>
        <c:crossAx val="200417856"/>
        <c:crosses val="max"/>
        <c:crossBetween val="midCat"/>
      </c:valAx>
      <c:valAx>
        <c:axId val="200417856"/>
        <c:scaling>
          <c:orientation val="minMax"/>
        </c:scaling>
        <c:delete val="1"/>
        <c:axPos val="b"/>
        <c:numFmt formatCode="General" sourceLinked="1"/>
        <c:majorTickMark val="out"/>
        <c:minorTickMark val="none"/>
        <c:tickLblPos val="nextTo"/>
        <c:crossAx val="20041728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Sheet1!$G$18</c:f>
              <c:strCache>
                <c:ptCount val="1"/>
                <c:pt idx="0">
                  <c:v>Travel time (s)</c:v>
                </c:pt>
              </c:strCache>
            </c:strRef>
          </c:tx>
          <c:spPr>
            <a:ln w="28575">
              <a:noFill/>
            </a:ln>
          </c:spPr>
          <c:xVal>
            <c:numRef>
              <c:f>Sheet1!$A$19:$A$27</c:f>
              <c:numCache>
                <c:formatCode>General</c:formatCode>
                <c:ptCount val="9"/>
                <c:pt idx="0">
                  <c:v>3.84</c:v>
                </c:pt>
                <c:pt idx="1">
                  <c:v>5</c:v>
                </c:pt>
                <c:pt idx="2">
                  <c:v>6.4</c:v>
                </c:pt>
                <c:pt idx="3">
                  <c:v>7.44</c:v>
                </c:pt>
                <c:pt idx="4">
                  <c:v>8.4</c:v>
                </c:pt>
                <c:pt idx="5">
                  <c:v>9.4</c:v>
                </c:pt>
                <c:pt idx="6">
                  <c:v>10.199999999999999</c:v>
                </c:pt>
                <c:pt idx="7">
                  <c:v>11.8</c:v>
                </c:pt>
                <c:pt idx="8">
                  <c:v>12.2</c:v>
                </c:pt>
              </c:numCache>
            </c:numRef>
          </c:xVal>
          <c:yVal>
            <c:numRef>
              <c:f>Sheet1!$G$19:$G$27</c:f>
              <c:numCache>
                <c:formatCode>0.00E+00</c:formatCode>
                <c:ptCount val="9"/>
                <c:pt idx="0">
                  <c:v>1.06E-6</c:v>
                </c:pt>
                <c:pt idx="1">
                  <c:v>9.4000000000000011E-7</c:v>
                </c:pt>
                <c:pt idx="2">
                  <c:v>9.0000000000000007E-7</c:v>
                </c:pt>
                <c:pt idx="3">
                  <c:v>9.0000000000000007E-7</c:v>
                </c:pt>
                <c:pt idx="4">
                  <c:v>8.850000000000001E-7</c:v>
                </c:pt>
                <c:pt idx="5">
                  <c:v>9.1000000000000008E-7</c:v>
                </c:pt>
                <c:pt idx="6">
                  <c:v>9.0500000000000002E-7</c:v>
                </c:pt>
                <c:pt idx="7">
                  <c:v>1.04E-6</c:v>
                </c:pt>
                <c:pt idx="8">
                  <c:v>1.3100000000000002E-6</c:v>
                </c:pt>
              </c:numCache>
            </c:numRef>
          </c:yVal>
          <c:smooth val="0"/>
        </c:ser>
        <c:dLbls>
          <c:showLegendKey val="0"/>
          <c:showVal val="0"/>
          <c:showCatName val="0"/>
          <c:showSerName val="0"/>
          <c:showPercent val="0"/>
          <c:showBubbleSize val="0"/>
        </c:dLbls>
        <c:axId val="200419584"/>
        <c:axId val="200420160"/>
      </c:scatterChart>
      <c:scatterChart>
        <c:scatterStyle val="lineMarker"/>
        <c:varyColors val="0"/>
        <c:ser>
          <c:idx val="1"/>
          <c:order val="1"/>
          <c:tx>
            <c:strRef>
              <c:f>Sheet1!$H$18</c:f>
              <c:strCache>
                <c:ptCount val="1"/>
                <c:pt idx="0">
                  <c:v>Mobility (m2/V.s)</c:v>
                </c:pt>
              </c:strCache>
            </c:strRef>
          </c:tx>
          <c:spPr>
            <a:ln w="28575">
              <a:noFill/>
            </a:ln>
          </c:spPr>
          <c:xVal>
            <c:numRef>
              <c:f>Sheet1!$A$19:$A$27</c:f>
              <c:numCache>
                <c:formatCode>General</c:formatCode>
                <c:ptCount val="9"/>
                <c:pt idx="0">
                  <c:v>3.84</c:v>
                </c:pt>
                <c:pt idx="1">
                  <c:v>5</c:v>
                </c:pt>
                <c:pt idx="2">
                  <c:v>6.4</c:v>
                </c:pt>
                <c:pt idx="3">
                  <c:v>7.44</c:v>
                </c:pt>
                <c:pt idx="4">
                  <c:v>8.4</c:v>
                </c:pt>
                <c:pt idx="5">
                  <c:v>9.4</c:v>
                </c:pt>
                <c:pt idx="6">
                  <c:v>10.199999999999999</c:v>
                </c:pt>
                <c:pt idx="7">
                  <c:v>11.8</c:v>
                </c:pt>
                <c:pt idx="8">
                  <c:v>12.2</c:v>
                </c:pt>
              </c:numCache>
            </c:numRef>
          </c:xVal>
          <c:yVal>
            <c:numRef>
              <c:f>Sheet1!$H$19:$H$27</c:f>
              <c:numCache>
                <c:formatCode>0.00E+00</c:formatCode>
                <c:ptCount val="9"/>
                <c:pt idx="0">
                  <c:v>0.53805868426716397</c:v>
                </c:pt>
                <c:pt idx="1">
                  <c:v>0.60674702693956784</c:v>
                </c:pt>
                <c:pt idx="2">
                  <c:v>0.6337135614702154</c:v>
                </c:pt>
                <c:pt idx="3">
                  <c:v>0.6337135614702154</c:v>
                </c:pt>
                <c:pt idx="4">
                  <c:v>0.64445446929174444</c:v>
                </c:pt>
                <c:pt idx="5">
                  <c:v>0.62674967617933386</c:v>
                </c:pt>
                <c:pt idx="6">
                  <c:v>0.63021238157258985</c:v>
                </c:pt>
                <c:pt idx="7">
                  <c:v>0.5484059666569171</c:v>
                </c:pt>
                <c:pt idx="8">
                  <c:v>0.43537572925434637</c:v>
                </c:pt>
              </c:numCache>
            </c:numRef>
          </c:yVal>
          <c:smooth val="0"/>
        </c:ser>
        <c:dLbls>
          <c:showLegendKey val="0"/>
          <c:showVal val="0"/>
          <c:showCatName val="0"/>
          <c:showSerName val="0"/>
          <c:showPercent val="0"/>
          <c:showBubbleSize val="0"/>
        </c:dLbls>
        <c:axId val="200421312"/>
        <c:axId val="200420736"/>
      </c:scatterChart>
      <c:valAx>
        <c:axId val="200419584"/>
        <c:scaling>
          <c:orientation val="minMax"/>
        </c:scaling>
        <c:delete val="0"/>
        <c:axPos val="b"/>
        <c:title>
          <c:tx>
            <c:rich>
              <a:bodyPr/>
              <a:lstStyle/>
              <a:p>
                <a:pPr>
                  <a:defRPr/>
                </a:pPr>
                <a:r>
                  <a:rPr lang="nl-NL"/>
                  <a:t>Pulse voltage</a:t>
                </a:r>
              </a:p>
            </c:rich>
          </c:tx>
          <c:overlay val="0"/>
        </c:title>
        <c:numFmt formatCode="General" sourceLinked="1"/>
        <c:majorTickMark val="out"/>
        <c:minorTickMark val="none"/>
        <c:tickLblPos val="nextTo"/>
        <c:crossAx val="200420160"/>
        <c:crosses val="autoZero"/>
        <c:crossBetween val="midCat"/>
      </c:valAx>
      <c:valAx>
        <c:axId val="200420160"/>
        <c:scaling>
          <c:orientation val="minMax"/>
        </c:scaling>
        <c:delete val="0"/>
        <c:axPos val="l"/>
        <c:majorGridlines/>
        <c:title>
          <c:tx>
            <c:rich>
              <a:bodyPr rot="-5400000" vert="horz"/>
              <a:lstStyle/>
              <a:p>
                <a:pPr>
                  <a:defRPr/>
                </a:pPr>
                <a:r>
                  <a:rPr lang="nl-NL"/>
                  <a:t>Travel time (s)</a:t>
                </a:r>
              </a:p>
            </c:rich>
          </c:tx>
          <c:overlay val="0"/>
        </c:title>
        <c:numFmt formatCode="0.00E+00" sourceLinked="1"/>
        <c:majorTickMark val="out"/>
        <c:minorTickMark val="none"/>
        <c:tickLblPos val="nextTo"/>
        <c:crossAx val="200419584"/>
        <c:crosses val="autoZero"/>
        <c:crossBetween val="midCat"/>
      </c:valAx>
      <c:valAx>
        <c:axId val="200420736"/>
        <c:scaling>
          <c:orientation val="minMax"/>
        </c:scaling>
        <c:delete val="0"/>
        <c:axPos val="r"/>
        <c:title>
          <c:tx>
            <c:rich>
              <a:bodyPr rot="-5400000" vert="horz"/>
              <a:lstStyle/>
              <a:p>
                <a:pPr>
                  <a:defRPr/>
                </a:pPr>
                <a:r>
                  <a:rPr lang="nl-NL"/>
                  <a:t>Mobility (m2/V.s)</a:t>
                </a:r>
              </a:p>
            </c:rich>
          </c:tx>
          <c:overlay val="0"/>
        </c:title>
        <c:numFmt formatCode="0.00E+00" sourceLinked="1"/>
        <c:majorTickMark val="out"/>
        <c:minorTickMark val="none"/>
        <c:tickLblPos val="nextTo"/>
        <c:crossAx val="200421312"/>
        <c:crosses val="max"/>
        <c:crossBetween val="midCat"/>
      </c:valAx>
      <c:valAx>
        <c:axId val="200421312"/>
        <c:scaling>
          <c:orientation val="minMax"/>
        </c:scaling>
        <c:delete val="1"/>
        <c:axPos val="b"/>
        <c:numFmt formatCode="General" sourceLinked="1"/>
        <c:majorTickMark val="out"/>
        <c:minorTickMark val="none"/>
        <c:tickLblPos val="nextTo"/>
        <c:crossAx val="20042073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Sheet1!$A$34:$A$42</c:f>
              <c:numCache>
                <c:formatCode>General</c:formatCode>
                <c:ptCount val="9"/>
                <c:pt idx="0">
                  <c:v>3</c:v>
                </c:pt>
                <c:pt idx="1">
                  <c:v>4.88</c:v>
                </c:pt>
                <c:pt idx="2">
                  <c:v>5.28</c:v>
                </c:pt>
                <c:pt idx="3">
                  <c:v>6.1</c:v>
                </c:pt>
                <c:pt idx="4">
                  <c:v>7.12</c:v>
                </c:pt>
                <c:pt idx="5">
                  <c:v>8.16</c:v>
                </c:pt>
                <c:pt idx="6">
                  <c:v>9.1199999999999992</c:v>
                </c:pt>
                <c:pt idx="7">
                  <c:v>10.4</c:v>
                </c:pt>
                <c:pt idx="8">
                  <c:v>11.3</c:v>
                </c:pt>
              </c:numCache>
            </c:numRef>
          </c:xVal>
          <c:yVal>
            <c:numRef>
              <c:f>Sheet1!$G$34:$G$42</c:f>
              <c:numCache>
                <c:formatCode>0.00E+00</c:formatCode>
                <c:ptCount val="9"/>
                <c:pt idx="0">
                  <c:v>2.2500000000000002E-7</c:v>
                </c:pt>
                <c:pt idx="1">
                  <c:v>1.85E-7</c:v>
                </c:pt>
                <c:pt idx="2">
                  <c:v>1.85E-7</c:v>
                </c:pt>
                <c:pt idx="3">
                  <c:v>2.0000000000000002E-7</c:v>
                </c:pt>
                <c:pt idx="4">
                  <c:v>2.4500000000000004E-7</c:v>
                </c:pt>
                <c:pt idx="5">
                  <c:v>2.9000000000000003E-7</c:v>
                </c:pt>
                <c:pt idx="6">
                  <c:v>3.2000000000000001E-7</c:v>
                </c:pt>
                <c:pt idx="7">
                  <c:v>3.5500000000000004E-7</c:v>
                </c:pt>
                <c:pt idx="8">
                  <c:v>4.0500000000000004E-7</c:v>
                </c:pt>
              </c:numCache>
            </c:numRef>
          </c:yVal>
          <c:smooth val="0"/>
        </c:ser>
        <c:dLbls>
          <c:showLegendKey val="0"/>
          <c:showVal val="0"/>
          <c:showCatName val="0"/>
          <c:showSerName val="0"/>
          <c:showPercent val="0"/>
          <c:showBubbleSize val="0"/>
        </c:dLbls>
        <c:axId val="200423040"/>
        <c:axId val="200423616"/>
      </c:scatterChart>
      <c:scatterChart>
        <c:scatterStyle val="lineMarker"/>
        <c:varyColors val="0"/>
        <c:ser>
          <c:idx val="1"/>
          <c:order val="1"/>
          <c:spPr>
            <a:ln w="28575">
              <a:noFill/>
            </a:ln>
          </c:spPr>
          <c:xVal>
            <c:numRef>
              <c:f>Sheet1!$A$34:$A$42</c:f>
              <c:numCache>
                <c:formatCode>General</c:formatCode>
                <c:ptCount val="9"/>
                <c:pt idx="0">
                  <c:v>3</c:v>
                </c:pt>
                <c:pt idx="1">
                  <c:v>4.88</c:v>
                </c:pt>
                <c:pt idx="2">
                  <c:v>5.28</c:v>
                </c:pt>
                <c:pt idx="3">
                  <c:v>6.1</c:v>
                </c:pt>
                <c:pt idx="4">
                  <c:v>7.12</c:v>
                </c:pt>
                <c:pt idx="5">
                  <c:v>8.16</c:v>
                </c:pt>
                <c:pt idx="6">
                  <c:v>9.1199999999999992</c:v>
                </c:pt>
                <c:pt idx="7">
                  <c:v>10.4</c:v>
                </c:pt>
                <c:pt idx="8">
                  <c:v>11.3</c:v>
                </c:pt>
              </c:numCache>
            </c:numRef>
          </c:xVal>
          <c:yVal>
            <c:numRef>
              <c:f>Sheet1!$H$34:$H$42</c:f>
              <c:numCache>
                <c:formatCode>0.00E+00</c:formatCode>
                <c:ptCount val="9"/>
                <c:pt idx="0">
                  <c:v>2.5348542458808616</c:v>
                </c:pt>
                <c:pt idx="1">
                  <c:v>3.0829308395848316</c:v>
                </c:pt>
                <c:pt idx="2">
                  <c:v>3.0829308395848316</c:v>
                </c:pt>
                <c:pt idx="3">
                  <c:v>2.8517110266159689</c:v>
                </c:pt>
                <c:pt idx="4">
                  <c:v>2.3279273686660971</c:v>
                </c:pt>
                <c:pt idx="5">
                  <c:v>1.9666972597351509</c:v>
                </c:pt>
                <c:pt idx="6">
                  <c:v>1.7823193916349807</c:v>
                </c:pt>
                <c:pt idx="7">
                  <c:v>1.6065977614737854</c:v>
                </c:pt>
                <c:pt idx="8">
                  <c:v>1.4082523588227007</c:v>
                </c:pt>
              </c:numCache>
            </c:numRef>
          </c:yVal>
          <c:smooth val="0"/>
        </c:ser>
        <c:dLbls>
          <c:showLegendKey val="0"/>
          <c:showVal val="0"/>
          <c:showCatName val="0"/>
          <c:showSerName val="0"/>
          <c:showPercent val="0"/>
          <c:showBubbleSize val="0"/>
        </c:dLbls>
        <c:axId val="200424768"/>
        <c:axId val="200424192"/>
      </c:scatterChart>
      <c:valAx>
        <c:axId val="200423040"/>
        <c:scaling>
          <c:orientation val="minMax"/>
        </c:scaling>
        <c:delete val="0"/>
        <c:axPos val="b"/>
        <c:title>
          <c:tx>
            <c:rich>
              <a:bodyPr/>
              <a:lstStyle/>
              <a:p>
                <a:pPr>
                  <a:defRPr/>
                </a:pPr>
                <a:r>
                  <a:rPr lang="nl-NL"/>
                  <a:t>Pulse voltage</a:t>
                </a:r>
              </a:p>
            </c:rich>
          </c:tx>
          <c:overlay val="0"/>
        </c:title>
        <c:numFmt formatCode="General" sourceLinked="1"/>
        <c:majorTickMark val="out"/>
        <c:minorTickMark val="none"/>
        <c:tickLblPos val="nextTo"/>
        <c:crossAx val="200423616"/>
        <c:crosses val="autoZero"/>
        <c:crossBetween val="midCat"/>
      </c:valAx>
      <c:valAx>
        <c:axId val="200423616"/>
        <c:scaling>
          <c:orientation val="minMax"/>
        </c:scaling>
        <c:delete val="0"/>
        <c:axPos val="l"/>
        <c:majorGridlines/>
        <c:title>
          <c:tx>
            <c:rich>
              <a:bodyPr rot="-5400000" vert="horz"/>
              <a:lstStyle/>
              <a:p>
                <a:pPr>
                  <a:defRPr/>
                </a:pPr>
                <a:r>
                  <a:rPr lang="nl-NL"/>
                  <a:t>Travel time (s)</a:t>
                </a:r>
              </a:p>
            </c:rich>
          </c:tx>
          <c:overlay val="0"/>
        </c:title>
        <c:numFmt formatCode="0.00E+00" sourceLinked="1"/>
        <c:majorTickMark val="out"/>
        <c:minorTickMark val="none"/>
        <c:tickLblPos val="nextTo"/>
        <c:crossAx val="200423040"/>
        <c:crosses val="autoZero"/>
        <c:crossBetween val="midCat"/>
      </c:valAx>
      <c:valAx>
        <c:axId val="200424192"/>
        <c:scaling>
          <c:orientation val="minMax"/>
        </c:scaling>
        <c:delete val="0"/>
        <c:axPos val="r"/>
        <c:title>
          <c:tx>
            <c:rich>
              <a:bodyPr rot="-5400000" vert="horz"/>
              <a:lstStyle/>
              <a:p>
                <a:pPr>
                  <a:defRPr/>
                </a:pPr>
                <a:r>
                  <a:rPr lang="nl-NL"/>
                  <a:t>Mobility (m2/V.s)</a:t>
                </a:r>
              </a:p>
            </c:rich>
          </c:tx>
          <c:overlay val="0"/>
        </c:title>
        <c:numFmt formatCode="0.00E+00" sourceLinked="1"/>
        <c:majorTickMark val="out"/>
        <c:minorTickMark val="none"/>
        <c:tickLblPos val="nextTo"/>
        <c:crossAx val="200424768"/>
        <c:crosses val="max"/>
        <c:crossBetween val="midCat"/>
      </c:valAx>
      <c:valAx>
        <c:axId val="200424768"/>
        <c:scaling>
          <c:orientation val="minMax"/>
        </c:scaling>
        <c:delete val="1"/>
        <c:axPos val="b"/>
        <c:numFmt formatCode="General" sourceLinked="1"/>
        <c:majorTickMark val="out"/>
        <c:minorTickMark val="none"/>
        <c:tickLblPos val="nextTo"/>
        <c:crossAx val="2004241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01179-2326-4700-AB98-2C2CFEAC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1222</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JBlaak</dc:creator>
  <cp:lastModifiedBy>JBlaak</cp:lastModifiedBy>
  <cp:revision>86</cp:revision>
  <cp:lastPrinted>2011-03-25T10:44:00Z</cp:lastPrinted>
  <dcterms:created xsi:type="dcterms:W3CDTF">2011-03-18T14:53:00Z</dcterms:created>
  <dcterms:modified xsi:type="dcterms:W3CDTF">2011-03-25T10:44:00Z</dcterms:modified>
</cp:coreProperties>
</file>