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sectPr>
          <w:headerReference w:type="default" r:id="rId2"/>
          <w:footerReference w:type="default" r:id="rId3"/>
          <w:type w:val="nextPage"/>
          <w:pgSz w:w="11906" w:h="16838"/>
          <w:pgMar w:left="1417" w:right="1417"/>
          <w:pgNumType w:fmt="decimal"/>
          <w:formProt w:val="false"/>
          <w:textDirection w:val="lrTb"/>
        </w:sectPr>
      </w:pPr>
    </w:p>
    <w:p>
      <w:pPr>
        <w:pStyle w:val="Heading1"/>
        <w:numPr>
          <w:ilvl w:val="0"/>
          <w:numId w:val="1"/>
        </w:numPr>
        <w:spacing w:lineRule="auto" w:line="240" w:before="0" w:after="0"/>
        <w:rPr>
          <w:color w:val="000000"/>
        </w:rPr>
      </w:pPr>
      <w:bookmarkStart w:id="0" w:name="_GoBack"/>
      <w:bookmarkEnd w:id="0"/>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ind w:left="360" w:hanging="360"/>
        <w:rPr>
          <w:color w:val="000000"/>
        </w:rPr>
      </w:pPr>
      <w:r>
        <w:rPr>
          <w:color w:val="000000"/>
        </w:rPr>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2"/>
        <w:gridCol w:w="566"/>
        <w:gridCol w:w="567"/>
        <w:gridCol w:w="567"/>
        <w:gridCol w:w="566"/>
        <w:gridCol w:w="566"/>
        <w:gridCol w:w="567"/>
        <w:gridCol w:w="567"/>
        <w:gridCol w:w="567"/>
        <w:gridCol w:w="676"/>
      </w:tblGrid>
      <w:tr>
        <w:trPr/>
        <w:tc>
          <w:tcPr>
            <w:tcW w:w="17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3"/>
        <w:gridCol w:w="566"/>
        <w:gridCol w:w="567"/>
        <w:gridCol w:w="567"/>
        <w:gridCol w:w="566"/>
        <w:gridCol w:w="567"/>
        <w:gridCol w:w="566"/>
        <w:gridCol w:w="567"/>
        <w:gridCol w:w="567"/>
        <w:gridCol w:w="567"/>
        <w:gridCol w:w="568"/>
      </w:tblGrid>
      <w:tr>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Normal"/>
        <w:spacing w:lineRule="auto" w:line="240" w:before="240" w:after="0"/>
        <w:rPr/>
      </w:pPr>
      <w:r>
        <w:rPr/>
      </w:r>
    </w:p>
    <w:p>
      <w:pPr>
        <w:pStyle w:val="Heading1"/>
        <w:rPr>
          <w:color w:val="000000"/>
        </w:rPr>
      </w:pPr>
      <w:r>
        <w:rPr>
          <w:color w:val="00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ind w:left="360" w:hanging="360"/>
        <w:rPr>
          <w:color w:val="000000"/>
        </w:rPr>
      </w:pPr>
      <w:r>
        <w:rPr>
          <w:color w:val="000000"/>
        </w:rPr>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r>
    </w:p>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Normal"/>
        <w:spacing w:lineRule="auto" w:line="240" w:before="240" w:after="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ind w:left="360" w:hanging="360"/>
        <w:rPr>
          <w:color w:val="000000"/>
        </w:rPr>
      </w:pPr>
      <w:r>
        <w:rPr>
          <w:color w:val="000000"/>
        </w:rPr>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3"/>
        <w:gridCol w:w="566"/>
        <w:gridCol w:w="567"/>
        <w:gridCol w:w="567"/>
        <w:gridCol w:w="566"/>
        <w:gridCol w:w="567"/>
        <w:gridCol w:w="566"/>
        <w:gridCol w:w="567"/>
        <w:gridCol w:w="567"/>
        <w:gridCol w:w="567"/>
        <w:gridCol w:w="568"/>
      </w:tblGrid>
      <w:tr>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Normal"/>
        <w:spacing w:lineRule="auto" w:line="240" w:before="240" w:after="0"/>
        <w:rPr>
          <w:rFonts w:ascii="Schoensperger" w:hAnsi="Schoensperger" w:eastAsia="Schoensperger" w:cs="Schoensperger"/>
          <w:sz w:val="28"/>
          <w:szCs w:val="28"/>
        </w:rPr>
      </w:pPr>
      <w:r>
        <w:rPr>
          <w:rFonts w:eastAsia="Schoensperger" w:cs="Schoensperger" w:ascii="Schoensperger" w:hAnsi="Schoensperger"/>
          <w:sz w:val="28"/>
          <w:szCs w:val="28"/>
        </w:rPr>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1"/>
        <w:ind w:left="360" w:hanging="360"/>
        <w:rPr>
          <w:color w:val="000000"/>
        </w:rPr>
      </w:pPr>
      <w:r>
        <w:rPr>
          <w:color w:val="000000"/>
        </w:rPr>
      </w:r>
    </w:p>
    <w:p>
      <w:pPr>
        <w:pStyle w:val="Heading1"/>
        <w:numPr>
          <w:ilvl w:val="0"/>
          <w:numId w:val="1"/>
        </w:numPr>
        <w:rPr>
          <w:color w:val="000000"/>
        </w:rPr>
      </w:pPr>
      <w:r>
        <w:rPr>
          <w:color w:val="000000"/>
        </w:rPr>
        <w:t>Unlocking the Tomb</w:t>
      </w:r>
    </w:p>
    <w:p>
      <w:pPr>
        <w:pStyle w:val="Normal"/>
        <w:spacing w:lineRule="auto" w:line="240" w:before="240" w:after="0"/>
        <w:rPr>
          <w:rFonts w:ascii="Arimo" w:hAnsi="Arimo" w:eastAsia="Arimo" w:cs="Arimo"/>
          <w:sz w:val="20"/>
          <w:szCs w:val="20"/>
        </w:rPr>
      </w:pPr>
      <w:r>
        <w:rPr>
          <w:rFonts w:eastAsia="Arimo" w:cs="Arimo" w:ascii="Arimo" w:hAnsi="Arimo"/>
          <w:sz w:val="20"/>
          <w:szCs w:val="20"/>
        </w:rPr>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pStyle w:val="Normal"/>
        <w:spacing w:lineRule="auto" w:line="240" w:before="240" w:after="0"/>
        <w:rPr/>
      </w:pPr>
      <w:r>
        <w:rPr/>
        <w:t xml:space="preserve">Each hero that enters the Tomb may search for treasure (as before, skipping everything else) gaining a treasure box. </w:t>
      </w:r>
    </w:p>
    <w:p>
      <w:pPr>
        <w:pStyle w:val="Normal"/>
        <w:spacing w:lineRule="auto" w:line="240" w:before="240" w:after="0"/>
        <w:rPr/>
      </w:pPr>
      <w:r>
        <w:rPr/>
      </w:r>
    </w:p>
    <w:p>
      <w:pPr>
        <w:pStyle w:val="Normal"/>
        <w:spacing w:lineRule="auto" w:line="240" w:before="240" w:after="0"/>
        <w:rPr/>
      </w:pPr>
      <w:r>
        <w:rPr/>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5"/>
        <w:gridCol w:w="8362"/>
      </w:tblGrid>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Medallion of Office </w:t>
            </w:r>
          </w:p>
          <w:p>
            <w:pPr>
              <w:pStyle w:val="Normal"/>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Heading1"/>
        <w:numPr>
          <w:ilvl w:val="0"/>
          <w:numId w:val="1"/>
        </w:numPr>
        <w:rPr/>
      </w:pPr>
      <w:r>
        <w:rPr>
          <w:color w:val="000000"/>
        </w:rPr>
        <w:t>The Game</w:t>
      </w:r>
    </w:p>
    <w:p>
      <w:pPr>
        <w:pStyle w:val="Normal"/>
        <w:spacing w:lineRule="auto" w:line="240" w:before="240" w:after="0"/>
        <w:rPr>
          <w:rFonts w:ascii="Arimo" w:hAnsi="Arimo" w:eastAsia="Arimo" w:cs="Arimo"/>
          <w:sz w:val="20"/>
          <w:szCs w:val="20"/>
        </w:rPr>
      </w:pPr>
      <w:r>
        <w:rPr>
          <w:rFonts w:eastAsia="Arimo" w:cs="Arimo" w:ascii="Arimo" w:hAnsi="Arimo"/>
          <w:sz w:val="20"/>
          <w:szCs w:val="20"/>
        </w:rPr>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Heading1"/>
        <w:ind w:left="360" w:hanging="360"/>
        <w:rPr>
          <w:color w:val="000000"/>
        </w:rPr>
      </w:pPr>
      <w:r>
        <w:rPr>
          <w:color w:val="000000"/>
        </w:rPr>
      </w:r>
      <w:r>
        <w:br w:type="page"/>
      </w:r>
    </w:p>
    <w:p>
      <w:pPr>
        <w:pStyle w:val="Heading1"/>
        <w:numPr>
          <w:ilvl w:val="0"/>
          <w:numId w:val="1"/>
        </w:numPr>
        <w:rPr/>
      </w:pPr>
      <w:r>
        <w:rPr>
          <w:color w:val="000000"/>
        </w:rPr>
        <w:t>Round-up at the Mordheim corral</w:t>
      </w:r>
    </w:p>
    <w:p>
      <w:pPr>
        <w:pStyle w:val="Normal"/>
        <w:spacing w:lineRule="auto" w:line="240" w:before="240" w:after="0"/>
        <w:rPr>
          <w:rFonts w:ascii="Arimo" w:hAnsi="Arimo" w:eastAsia="Arimo" w:cs="Arimo"/>
          <w:sz w:val="20"/>
          <w:szCs w:val="20"/>
        </w:rPr>
      </w:pPr>
      <w:r>
        <w:rPr>
          <w:rFonts w:eastAsia="Arimo" w:cs="Arimo" w:ascii="Arimo" w:hAnsi="Arimo"/>
          <w:sz w:val="20"/>
          <w:szCs w:val="20"/>
        </w:rPr>
      </w:r>
    </w:p>
    <w:p>
      <w:pPr>
        <w:pStyle w:val="Normal"/>
        <w:spacing w:lineRule="auto" w:line="240" w:before="240" w:after="0"/>
        <w:rPr/>
      </w:pPr>
      <w:r>
        <w:rPr>
          <w:highlight w:val="yellow"/>
        </w:rPr>
        <w:t>F</w:t>
      </w:r>
      <w:r>
        <w:rPr>
          <w:highlight w:val="yellow"/>
        </w:rPr>
        <w:t>RAGE</w:t>
      </w:r>
      <w:r>
        <w:rPr>
          <w:highlight w:val="yellow"/>
        </w:rPr>
        <w:t>N</w:t>
      </w:r>
      <w:r>
        <w:rPr>
          <w:highlight w:val="yellow"/>
        </w:rPr>
        <w:t>:</w:t>
      </w:r>
    </w:p>
    <w:p>
      <w:pPr>
        <w:pStyle w:val="Normal"/>
        <w:numPr>
          <w:ilvl w:val="0"/>
          <w:numId w:val="3"/>
        </w:numPr>
        <w:spacing w:lineRule="auto" w:line="240" w:before="240" w:after="0"/>
        <w:rPr/>
      </w:pPr>
      <w:r>
        <w:rPr>
          <w:highlight w:val="yellow"/>
        </w:rPr>
        <w:t>Was ist mit den Mutatione</w:t>
      </w:r>
      <w:r>
        <w:rPr>
          <w:highlight w:val="yellow"/>
        </w:rPr>
        <w:t>n</w:t>
      </w:r>
      <w:r>
        <w:rPr>
          <w:highlight w:val="yellow"/>
        </w:rPr>
        <w:t xml:space="preserve"> die </w:t>
      </w:r>
      <w:r>
        <w:rPr>
          <w:highlight w:val="yellow"/>
        </w:rPr>
        <w:t>die Wild Boars</w:t>
      </w:r>
      <w:r>
        <w:rPr>
          <w:highlight w:val="yellow"/>
        </w:rPr>
        <w:t xml:space="preserve"> zu Beginn der zweiten Runde erhalten?</w:t>
      </w:r>
    </w:p>
    <w:p>
      <w:pPr>
        <w:pStyle w:val="Normal"/>
        <w:numPr>
          <w:ilvl w:val="0"/>
          <w:numId w:val="3"/>
        </w:numPr>
        <w:spacing w:lineRule="auto" w:line="240" w:before="240" w:after="0"/>
        <w:rPr/>
      </w:pPr>
      <w:r>
        <w:rPr>
          <w:highlight w:val="yellow"/>
        </w:rPr>
        <w:t>Welche Stats und Regeln gelten für die War Boar? In Mordheim konnte man sie noch mutieren lassen indem man Ihnen Wyrdstone füttert, und sie hatten beim Charge +2S. In BTB scheinbar nur noch +1S und dafür ein 6+AS</w:t>
      </w:r>
      <w:r>
        <w:rPr>
          <w:highlight w:val="yellow"/>
        </w:rPr>
        <w:t xml:space="preserve">. </w:t>
      </w:r>
      <w:r>
        <w:rPr>
          <w:highlight w:val="yellow"/>
        </w:rPr>
        <w:t>Welchen AS gibt das War Boar einem Reiter?</w:t>
      </w:r>
    </w:p>
    <w:p>
      <w:pPr>
        <w:pStyle w:val="Normal"/>
        <w:numPr>
          <w:ilvl w:val="0"/>
          <w:numId w:val="3"/>
        </w:numPr>
        <w:spacing w:lineRule="auto" w:line="240" w:before="240" w:after="0"/>
        <w:rPr>
          <w:highlight w:val="yellow"/>
        </w:rPr>
      </w:pPr>
      <w:r>
        <w:rPr>
          <w:rFonts w:eastAsia="Arimo" w:cs="Arimo" w:ascii="Arimo" w:hAnsi="Arimo"/>
          <w:sz w:val="20"/>
          <w:szCs w:val="20"/>
          <w:highlight w:val="yellow"/>
        </w:rPr>
        <w:t>Was ist wenn ein Ork-Held eines der Boars zähmt? (siehe Szenario-PDF / Mordheim basic rules PDF S. 283) Zählen die gezähmten Boars als getötet und damit zum Ranking um herauszufinden wer das Szenario gewonnen hat?</w:t>
      </w:r>
    </w:p>
    <w:p>
      <w:pPr>
        <w:pStyle w:val="Normal"/>
        <w:numPr>
          <w:ilvl w:val="0"/>
          <w:numId w:val="3"/>
        </w:numPr>
        <w:spacing w:lineRule="auto" w:line="240" w:before="240" w:after="0"/>
        <w:rPr>
          <w:highlight w:val="yellow"/>
        </w:rPr>
      </w:pPr>
      <w:r>
        <w:rPr>
          <w:rFonts w:eastAsia="Arimo" w:cs="Arimo" w:ascii="Arimo" w:hAnsi="Arimo"/>
          <w:sz w:val="20"/>
          <w:szCs w:val="20"/>
          <w:highlight w:val="yellow"/>
        </w:rPr>
        <w:t xml:space="preserve">Beim zähmen werden allerdings D3 Wyrdstones (keine Fragmente) erbrochen, das halte ich für zu viel in diesem Szenario. Ich würde vorschlagen das es D3 Wyrdstone Fragmente sind. </w:t>
      </w:r>
      <w:r>
        <w:rPr>
          <w:rFonts w:eastAsia="Arimo" w:cs="Arimo" w:ascii="Arimo" w:hAnsi="Arimo"/>
          <w:sz w:val="20"/>
          <w:szCs w:val="20"/>
          <w:highlight w:val="yellow"/>
        </w:rPr>
        <w:t>Was meint Ihr?</w:t>
      </w:r>
    </w:p>
    <w:p>
      <w:pPr>
        <w:pStyle w:val="Normal"/>
        <w:numPr>
          <w:ilvl w:val="0"/>
          <w:numId w:val="3"/>
        </w:numPr>
        <w:spacing w:lineRule="auto" w:line="240" w:before="240" w:after="0"/>
        <w:rPr>
          <w:highlight w:val="yellow"/>
        </w:rPr>
      </w:pPr>
      <w:r>
        <w:rPr>
          <w:rFonts w:eastAsia="Arimo" w:cs="Arimo" w:ascii="Arimo" w:hAnsi="Arimo"/>
          <w:sz w:val="20"/>
          <w:szCs w:val="20"/>
          <w:highlight w:val="yellow"/>
        </w:rPr>
        <w:t xml:space="preserve">Wird für jedes der Boars laut btb.pdf S.78 das Verhalten gewürfelt? </w:t>
      </w:r>
      <w:r>
        <w:rPr>
          <w:rFonts w:eastAsia="Arimo" w:cs="Arimo" w:ascii="Arimo" w:hAnsi="Arimo"/>
          <w:sz w:val="20"/>
          <w:szCs w:val="20"/>
          <w:highlight w:val="yellow"/>
        </w:rPr>
        <w:t xml:space="preserve">War Boars können wie auch andere Beasts of the East in BTB Allianzen eingehen </w:t>
      </w:r>
      <w:r>
        <w:rPr>
          <w:rFonts w:eastAsia="Arimo" w:cs="Arimo" w:ascii="Arimo" w:hAnsi="Arimo"/>
          <w:sz w:val="20"/>
          <w:szCs w:val="20"/>
          <w:highlight w:val="yellow"/>
        </w:rPr>
        <w:t>(Animal Handler Skill vorausgesetzt).</w:t>
      </w:r>
    </w:p>
    <w:p>
      <w:pPr>
        <w:pStyle w:val="Normal"/>
        <w:spacing w:lineRule="auto" w:line="240" w:before="240" w:after="0"/>
        <w:rPr>
          <w:rFonts w:ascii="Arimo" w:hAnsi="Arimo" w:eastAsia="Arimo" w:cs="Arimo"/>
          <w:sz w:val="20"/>
          <w:szCs w:val="20"/>
          <w:highlight w:val="yellow"/>
        </w:rPr>
      </w:pPr>
      <w:r>
        <w:rPr>
          <w:rFonts w:eastAsia="Arimo" w:cs="Arimo" w:ascii="Arimo" w:hAnsi="Arimo"/>
          <w:sz w:val="20"/>
          <w:szCs w:val="20"/>
          <w:highlight w:val="yellow"/>
        </w:rPr>
      </w:r>
    </w:p>
    <w:p>
      <w:pPr>
        <w:pStyle w:val="Heading2"/>
        <w:rPr>
          <w:color w:val="000000"/>
        </w:rPr>
      </w:pPr>
      <w:r>
        <w:rPr>
          <w:color w:val="000000"/>
        </w:rPr>
        <w:t>Terrain</w:t>
      </w:r>
    </w:p>
    <w:p>
      <w:pPr>
        <w:pStyle w:val="Normal"/>
        <w:spacing w:lineRule="auto" w:line="240" w:before="240" w:after="0"/>
        <w:rPr/>
      </w:pPr>
      <w:r>
        <w:rPr/>
        <w:t xml:space="preserve">The center of the table represents the corral. The rest of the is dominated by rural terrain Features (ponds, swamps, forests and the </w:t>
      </w:r>
      <w:r>
        <w:rPr/>
        <w:t>occasional</w:t>
      </w:r>
      <w:r>
        <w:rPr/>
        <w:t xml:space="preserve">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1" w:name="_gjdgxs"/>
      <w:bookmarkEnd w:id="1"/>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3"/>
        <w:gridCol w:w="566"/>
        <w:gridCol w:w="567"/>
        <w:gridCol w:w="567"/>
        <w:gridCol w:w="566"/>
        <w:gridCol w:w="567"/>
        <w:gridCol w:w="566"/>
        <w:gridCol w:w="567"/>
        <w:gridCol w:w="567"/>
        <w:gridCol w:w="567"/>
        <w:gridCol w:w="568"/>
      </w:tblGrid>
      <w:tr>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6+</w:t>
            </w:r>
          </w:p>
        </w:tc>
      </w:tr>
    </w:tbl>
    <w:p>
      <w:pPr>
        <w:pStyle w:val="Normal"/>
        <w:spacing w:lineRule="auto" w:line="240" w:before="240" w:after="0"/>
        <w:rPr/>
      </w:pPr>
      <w:r>
        <w:rPr>
          <w:b/>
        </w:rPr>
        <w:t>Ferocious Charge</w:t>
      </w:r>
      <w:r>
        <w:rPr/>
        <w:t xml:space="preserve">: Wild Boars gain </w:t>
      </w:r>
      <w:r>
        <w:rPr/>
        <w:t>+1 Strength</w:t>
      </w:r>
      <w:r>
        <w:rPr/>
        <w:t xml:space="preserve">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r>
    </w:p>
    <w:p>
      <w:pPr>
        <w:pStyle w:val="Normal"/>
        <w:spacing w:lineRule="auto" w:line="240" w:before="240" w:after="0"/>
        <w:rPr/>
      </w:pPr>
      <w:bookmarkStart w:id="2" w:name="_1rsh3dspfgk3"/>
      <w:bookmarkEnd w:id="2"/>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Normal"/>
        <w:spacing w:lineRule="auto" w:line="240" w:before="240" w:after="0"/>
        <w:rPr>
          <w:highlight w:val="yellow"/>
        </w:rPr>
      </w:pPr>
      <w:r>
        <w:rPr/>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pStyle w:val="Normal"/>
        <w:spacing w:lineRule="auto" w:line="240" w:before="240" w:after="0"/>
        <w:rPr/>
      </w:pPr>
      <w:r>
        <w:rPr/>
        <w:t>If there is still a tie, all tied warbands have won.</w:t>
      </w:r>
      <w:r>
        <w:br w:type="page"/>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ascii="Cambria" w:hAnsi="Cambria"/>
          <w:b/>
          <w:bCs/>
          <w:color w:val="000000"/>
          <w:sz w:val="28"/>
          <w:szCs w:val="28"/>
        </w:rPr>
        <w:t>11</w:t>
      </w:r>
      <w:r>
        <w:rPr>
          <w:rFonts w:cs="Calibri" w:cstheme="minorHAnsi"/>
          <w:b/>
          <w:bCs/>
          <w:color w:val="000000"/>
          <w:sz w:val="28"/>
          <w:szCs w:val="28"/>
        </w:rPr>
        <w:t>. Earthquake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Terrain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Urban area with a lot of ruined buildings.</w:t>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cstheme="minorHAnsi" w:ascii="Calibri" w:hAnsi="Calibri"/>
          <w:color w:val="000000"/>
          <w:sz w:val="28"/>
          <w:szCs w:val="28"/>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Territory</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rPr>
      </w:pPr>
      <w:r>
        <w:rPr>
          <w:rFonts w:cs="Calibri" w:cstheme="minorHAnsi"/>
        </w:rPr>
        <w:t>Cathayan Borderlands</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Ending the Game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Additionally, the game ends when all counters have been searched.</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Special Rules</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Counters:</w:t>
      </w:r>
      <w:r>
        <w:rPr>
          <w:rFonts w:cs="Calibri" w:cstheme="minorHAnsi"/>
          <w:color w:val="000000"/>
        </w:rPr>
        <w:t xml:space="preserve"> Each player places three counters on the table. All counters must be placed at least 8” from any edge. All counters must be placed at least 5” from any other counter.</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players take turns to place a counter. Roll a D6 for each player to determine the order in which players are placing the counters. The highest roll goes first.</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Searching Counters:</w:t>
      </w:r>
      <w:r>
        <w:rPr>
          <w:rFonts w:cs="Calibri" w:cstheme="minorHAnsi"/>
          <w:color w:val="000000"/>
        </w:rPr>
        <w:t xml:space="preserve"> Models cannot search counters in the first two rounds of the battle. </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When a (non-animal) model ends its move over a counter, it may search the spot.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Roll 2D6 and consult the following table to see what it finds:</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Hornet nest:</w:t>
      </w:r>
      <w:r>
        <w:rPr>
          <w:rFonts w:cs="Calibri" w:cstheme="minorHAnsi"/>
          <w:color w:val="000000"/>
        </w:rPr>
        <w:t xml:space="preserve"> In the next close combat phase the model is hit by 2D6 S2 hits (which cause no critical hits and ignore all armor saves and skills like ‘Step Aside’. </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sz w:val="24"/>
          <w:szCs w:val="24"/>
        </w:rPr>
        <w:t>Giant Scorpion</w:t>
      </w:r>
      <w:r>
        <w:rPr>
          <w:rFonts w:cs="Calibri" w:cstheme="minorHAnsi"/>
          <w:b/>
          <w:bCs/>
          <w:color w:val="000000"/>
        </w:rPr>
        <w:t>:</w:t>
      </w:r>
      <w:r>
        <w:rPr>
          <w:rFonts w:cs="Calibri" w:cstheme="minorHAnsi"/>
          <w:color w:val="000000"/>
        </w:rPr>
        <w:t xml:space="preserve"> The model is charged by a giant scorpion.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2"/>
        <w:gridCol w:w="490"/>
        <w:gridCol w:w="624"/>
        <w:gridCol w:w="532"/>
        <w:gridCol w:w="392"/>
        <w:gridCol w:w="393"/>
        <w:gridCol w:w="499"/>
        <w:gridCol w:w="392"/>
        <w:gridCol w:w="526"/>
        <w:gridCol w:w="537"/>
        <w:gridCol w:w="544"/>
      </w:tblGrid>
      <w:tr>
        <w:trPr/>
        <w:tc>
          <w:tcPr>
            <w:tcW w:w="19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Cs/>
          <w:color w:val="000000"/>
        </w:rPr>
        <w:t>* The scorpion has 2 normal attacks (resolved with its strength) and 1 special attack (resolved with S5[S2 against models immune to poison]).</w:t>
      </w:r>
    </w:p>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bCs/>
          <w:color w:val="000000"/>
        </w:rPr>
      </w:pPr>
      <w:r>
        <w:rPr>
          <w:rFonts w:cs="Calibri" w:cstheme="minorHAnsi"/>
          <w:bCs/>
          <w:color w:val="000000"/>
        </w:rPr>
      </w:r>
    </w:p>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sz w:val="24"/>
          <w:szCs w:val="24"/>
        </w:rPr>
        <w:t>Warhound</w:t>
      </w:r>
      <w:r>
        <w:rPr>
          <w:rFonts w:cs="Calibri" w:cstheme="minorHAnsi"/>
          <w:b/>
          <w:bCs/>
          <w:color w:val="000000"/>
        </w:rPr>
        <w:t xml:space="preserve">: </w:t>
      </w:r>
      <w:r>
        <w:rPr>
          <w:rFonts w:cs="Calibri" w:cstheme="minorHAnsi"/>
          <w:color w:val="000000"/>
        </w:rPr>
        <w:t>The model is charged by a Warhound.</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1" w:val="04a0" w:noHBand="0" w:lastColumn="0" w:firstColumn="1" w:lastRow="0" w:firstRow="1"/>
      </w:tblPr>
      <w:tblGrid>
        <w:gridCol w:w="1525"/>
        <w:gridCol w:w="299"/>
        <w:gridCol w:w="453"/>
        <w:gridCol w:w="399"/>
        <w:gridCol w:w="338"/>
        <w:gridCol w:w="333"/>
        <w:gridCol w:w="341"/>
        <w:gridCol w:w="282"/>
        <w:gridCol w:w="563"/>
        <w:gridCol w:w="390"/>
      </w:tblGrid>
      <w:tr>
        <w:trPr/>
        <w:tc>
          <w:tcPr>
            <w:tcW w:w="152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Giant Rat:</w:t>
      </w:r>
      <w:r>
        <w:rPr>
          <w:rFonts w:cs="Calibri" w:cstheme="minorHAnsi"/>
          <w:color w:val="000000"/>
        </w:rPr>
        <w:t xml:space="preserve"> The model is charged by a giant rat.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1" w:val="04a0" w:noHBand="0" w:lastColumn="0" w:firstColumn="1" w:lastRow="0" w:firstRow="1"/>
      </w:tblPr>
      <w:tblGrid>
        <w:gridCol w:w="1523"/>
        <w:gridCol w:w="298"/>
        <w:gridCol w:w="452"/>
        <w:gridCol w:w="399"/>
        <w:gridCol w:w="340"/>
        <w:gridCol w:w="332"/>
        <w:gridCol w:w="340"/>
        <w:gridCol w:w="284"/>
        <w:gridCol w:w="285"/>
        <w:gridCol w:w="387"/>
      </w:tblGrid>
      <w:tr>
        <w:trPr/>
        <w:tc>
          <w:tcPr>
            <w:tcW w:w="152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Rewards</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1" w:val="04a0" w:noHBand="0" w:lastColumn="0" w:firstColumn="1" w:lastRow="0" w:firstRow="1"/>
      </w:tblPr>
      <w:tblGrid>
        <w:gridCol w:w="2276"/>
        <w:gridCol w:w="1464"/>
      </w:tblGrid>
      <w:tr>
        <w:trPr/>
        <w:tc>
          <w:tcPr>
            <w:tcW w:w="227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rPr>
      </w:pPr>
      <w:r>
        <w:rPr>
          <w:rFonts w:cs="Calibri" w:cstheme="minorHAnsi"/>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Winning the game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GarmdITCBkBT">
    <w:charset w:val="01"/>
    <w:family w:val="roman"/>
    <w:pitch w:val="variable"/>
  </w:font>
  <w:font w:name="Times">
    <w:altName w:val="Times New Roman"/>
    <w:charset w:val="01"/>
    <w:family w:val="roman"/>
    <w:pitch w:val="variable"/>
  </w:font>
  <w:font w:name="Schoensperger">
    <w:charset w:val="01"/>
    <w:family w:val="roman"/>
    <w:pitch w:val="variable"/>
  </w:font>
  <w:font w:name="Arimo">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szCs w:val="28"/>
        <w:rFonts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leChar" w:customStyle="1">
    <w:name w:val="Title Char"/>
    <w:basedOn w:val="DefaultParagraphFont"/>
    <w:link w:val="Title"/>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BalloonTextChar" w:customStyle="1">
    <w:name w:val="Balloon Text Char"/>
    <w:basedOn w:val="DefaultParagraphFont"/>
    <w:link w:val="Balloo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HeaderChar" w:customStyle="1">
    <w:name w:val="Header Char"/>
    <w:basedOn w:val="DefaultParagraphFont"/>
    <w:link w:val="Header"/>
    <w:uiPriority w:val="99"/>
    <w:qFormat/>
    <w:rsid w:val="00547358"/>
    <w:rPr>
      <w:rFonts w:cs="Mangal"/>
      <w:szCs w:val="20"/>
    </w:rPr>
  </w:style>
  <w:style w:type="character" w:styleId="FooterChar" w:customStyle="1">
    <w:name w:val="Footer Char"/>
    <w:basedOn w:val="DefaultParagraphFont"/>
    <w:link w:val="Footer"/>
    <w:uiPriority w:val="99"/>
    <w:qFormat/>
    <w:rsid w:val="00547358"/>
    <w:rPr>
      <w:rFonts w:cs="Mangal"/>
      <w:szCs w:val="20"/>
    </w:rPr>
  </w:style>
  <w:style w:type="character" w:styleId="ListLabel2">
    <w:name w:val="ListLabel 2"/>
    <w:qFormat/>
    <w:rPr>
      <w:rFonts w:eastAsia="Cambria" w:cs="Cambria"/>
      <w:sz w:val="28"/>
      <w:szCs w:val="28"/>
    </w:rPr>
  </w:style>
  <w:style w:type="character" w:styleId="ListLabel3">
    <w:name w:val="ListLabel 3"/>
    <w:qFormat/>
    <w:rPr>
      <w:rFonts w:eastAsia="Calibri" w:cs="Calibri"/>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b/>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next w:val="Normal"/>
    <w:link w:val="TitleChar"/>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BalloonTextChar"/>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HeaderChar"/>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ooterChar"/>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
    <w:name w:val="Medium Grid 2"/>
    <w:basedOn w:val="TableNormal"/>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Application>LibreOffice/6.0.7.3$Linux_X86_64 LibreOffice_project/00m0$Build-3</Application>
  <Pages>22</Pages>
  <Words>5406</Words>
  <Characters>24538</Characters>
  <CharactersWithSpaces>29410</CharactersWithSpaces>
  <Paragraphs>591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2019-04-03T09:54:17Z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