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8BD411" w14:textId="77777777" w:rsidR="00E276D0" w:rsidRDefault="00E276D0">
      <w:pPr>
        <w:spacing w:line="300" w:lineRule="auto"/>
        <w:rPr>
          <w:rFonts w:ascii="Avenir" w:eastAsia="Avenir" w:hAnsi="Avenir" w:cs="Avenir"/>
          <w:b/>
          <w:sz w:val="24"/>
          <w:szCs w:val="24"/>
        </w:rPr>
      </w:pPr>
    </w:p>
    <w:p w14:paraId="4C8BD412" w14:textId="77777777" w:rsidR="00E276D0" w:rsidRDefault="00E276D0">
      <w:pPr>
        <w:spacing w:line="300" w:lineRule="auto"/>
        <w:rPr>
          <w:rFonts w:ascii="Avenir" w:eastAsia="Avenir" w:hAnsi="Avenir" w:cs="Avenir"/>
          <w:b/>
          <w:sz w:val="24"/>
          <w:szCs w:val="24"/>
        </w:rPr>
      </w:pPr>
    </w:p>
    <w:p w14:paraId="4C8BD413" w14:textId="77777777" w:rsidR="00E276D0" w:rsidRDefault="003F2994">
      <w:pPr>
        <w:spacing w:line="300" w:lineRule="auto"/>
        <w:jc w:val="center"/>
        <w:rPr>
          <w:rFonts w:ascii="Avenir" w:eastAsia="Avenir" w:hAnsi="Avenir" w:cs="Avenir"/>
          <w:b/>
          <w:sz w:val="24"/>
          <w:szCs w:val="24"/>
        </w:rPr>
      </w:pPr>
      <w:r>
        <w:rPr>
          <w:rFonts w:ascii="Avenir" w:eastAsia="Avenir" w:hAnsi="Avenir" w:cs="Avenir"/>
          <w:b/>
          <w:sz w:val="24"/>
          <w:szCs w:val="24"/>
        </w:rPr>
        <w:t>GUÍA DE OBSERVACIÓN Y DE COMENTARIOS DE LOS DOCENTES</w:t>
      </w:r>
    </w:p>
    <w:p w14:paraId="4C8BD414" w14:textId="77777777" w:rsidR="00E276D0" w:rsidRDefault="00E276D0">
      <w:pPr>
        <w:spacing w:line="300" w:lineRule="auto"/>
        <w:rPr>
          <w:rFonts w:ascii="Avenir" w:eastAsia="Avenir" w:hAnsi="Avenir" w:cs="Avenir"/>
          <w:b/>
          <w:sz w:val="24"/>
          <w:szCs w:val="24"/>
        </w:rPr>
      </w:pPr>
    </w:p>
    <w:p w14:paraId="4C8BD415" w14:textId="77777777" w:rsidR="00E276D0" w:rsidRDefault="003F2994">
      <w:pPr>
        <w:spacing w:line="300" w:lineRule="auto"/>
        <w:rPr>
          <w:rFonts w:ascii="Avenir" w:eastAsia="Avenir" w:hAnsi="Avenir" w:cs="Avenir"/>
          <w:b/>
          <w:sz w:val="24"/>
          <w:szCs w:val="24"/>
        </w:rPr>
      </w:pPr>
      <w:r>
        <w:rPr>
          <w:rFonts w:ascii="Avenir" w:eastAsia="Avenir" w:hAnsi="Avenir" w:cs="Avenir"/>
          <w:b/>
          <w:sz w:val="24"/>
          <w:szCs w:val="24"/>
        </w:rPr>
        <w:t>Fase 2: Validación con una colección candados con restricciones</w:t>
      </w:r>
    </w:p>
    <w:tbl>
      <w:tblPr>
        <w:tblStyle w:val="a"/>
        <w:tblW w:w="9345" w:type="dxa"/>
        <w:tblLayout w:type="fixed"/>
        <w:tblLook w:val="0400" w:firstRow="0" w:lastRow="0" w:firstColumn="0" w:lastColumn="0" w:noHBand="0" w:noVBand="1"/>
      </w:tblPr>
      <w:tblGrid>
        <w:gridCol w:w="135"/>
        <w:gridCol w:w="135"/>
        <w:gridCol w:w="9075"/>
      </w:tblGrid>
      <w:tr w:rsidR="00E276D0" w14:paraId="4C8BD422" w14:textId="77777777">
        <w:trPr>
          <w:trHeight w:val="3743"/>
        </w:trPr>
        <w:tc>
          <w:tcPr>
            <w:tcW w:w="135" w:type="dxa"/>
            <w:shd w:val="clear" w:color="auto" w:fill="5E3BFF"/>
          </w:tcPr>
          <w:p w14:paraId="4C8BD416" w14:textId="77777777" w:rsidR="00E276D0" w:rsidRDefault="00E276D0">
            <w:pPr>
              <w:spacing w:line="300" w:lineRule="auto"/>
              <w:rPr>
                <w:rFonts w:ascii="Aptos" w:eastAsia="Aptos" w:hAnsi="Aptos" w:cs="Aptos"/>
                <w:sz w:val="20"/>
                <w:szCs w:val="20"/>
              </w:rPr>
            </w:pPr>
          </w:p>
          <w:p w14:paraId="4C8BD417" w14:textId="77777777" w:rsidR="00E276D0" w:rsidRDefault="00E276D0">
            <w:pPr>
              <w:spacing w:line="300" w:lineRule="auto"/>
              <w:rPr>
                <w:rFonts w:ascii="Aptos" w:eastAsia="Aptos" w:hAnsi="Aptos" w:cs="Aptos"/>
                <w:sz w:val="20"/>
                <w:szCs w:val="20"/>
              </w:rPr>
            </w:pPr>
          </w:p>
        </w:tc>
        <w:tc>
          <w:tcPr>
            <w:tcW w:w="135" w:type="dxa"/>
          </w:tcPr>
          <w:p w14:paraId="4C8BD418" w14:textId="77777777" w:rsidR="00E276D0" w:rsidRDefault="00E276D0">
            <w:pPr>
              <w:spacing w:line="300" w:lineRule="auto"/>
              <w:rPr>
                <w:rFonts w:ascii="Aptos" w:eastAsia="Aptos" w:hAnsi="Aptos" w:cs="Aptos"/>
                <w:sz w:val="20"/>
                <w:szCs w:val="20"/>
              </w:rPr>
            </w:pPr>
          </w:p>
        </w:tc>
        <w:tc>
          <w:tcPr>
            <w:tcW w:w="9075" w:type="dxa"/>
          </w:tcPr>
          <w:p w14:paraId="4C8BD419" w14:textId="77777777" w:rsidR="00E276D0" w:rsidRDefault="003F2994">
            <w:pPr>
              <w:pStyle w:val="Heading1"/>
              <w:spacing w:before="240" w:after="240" w:line="240" w:lineRule="auto"/>
              <w:rPr>
                <w:rFonts w:ascii="Avenir" w:eastAsia="Avenir" w:hAnsi="Avenir" w:cs="Avenir"/>
                <w:color w:val="5E3BFF"/>
                <w:sz w:val="24"/>
                <w:szCs w:val="24"/>
              </w:rPr>
            </w:pPr>
            <w:r>
              <w:rPr>
                <w:rFonts w:ascii="Avenir" w:eastAsia="Avenir" w:hAnsi="Avenir" w:cs="Avenir"/>
                <w:color w:val="5E3BFF"/>
                <w:sz w:val="24"/>
                <w:szCs w:val="24"/>
              </w:rPr>
              <w:t>Objetivos y cuestiones principales</w:t>
            </w:r>
          </w:p>
          <w:p w14:paraId="4C8BD41A" w14:textId="77777777" w:rsidR="00E276D0" w:rsidRDefault="003F2994">
            <w:pPr>
              <w:spacing w:after="60" w:line="264" w:lineRule="auto"/>
              <w:ind w:left="12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Para el docente</w:t>
            </w:r>
          </w:p>
          <w:p w14:paraId="4C8BD41B" w14:textId="77777777" w:rsidR="00E276D0" w:rsidRDefault="003F2994">
            <w:pPr>
              <w:numPr>
                <w:ilvl w:val="0"/>
                <w:numId w:val="1"/>
              </w:numPr>
              <w:spacing w:after="60" w:line="264" w:lineRule="auto"/>
              <w:jc w:val="both"/>
              <w:rPr>
                <w:sz w:val="20"/>
                <w:szCs w:val="20"/>
              </w:rPr>
            </w:pPr>
            <w:r>
              <w:rPr>
                <w:rFonts w:ascii="Avenir" w:eastAsia="Avenir" w:hAnsi="Avenir" w:cs="Avenir"/>
                <w:sz w:val="20"/>
                <w:szCs w:val="20"/>
              </w:rPr>
              <w:t>Poner en común las diferentes técnicas para efectuar el recuento del número de códigos de un candado que hayan surgido en la exposición de los grupos de trabajo.</w:t>
            </w:r>
          </w:p>
          <w:p w14:paraId="4C8BD41C" w14:textId="77777777" w:rsidR="00E276D0" w:rsidRDefault="003F2994">
            <w:pPr>
              <w:numPr>
                <w:ilvl w:val="0"/>
                <w:numId w:val="1"/>
              </w:numPr>
              <w:spacing w:after="60" w:line="264" w:lineRule="auto"/>
              <w:jc w:val="both"/>
              <w:rPr>
                <w:sz w:val="20"/>
                <w:szCs w:val="20"/>
              </w:rPr>
            </w:pPr>
            <w:r>
              <w:rPr>
                <w:rFonts w:ascii="Avenir" w:eastAsia="Avenir" w:hAnsi="Avenir" w:cs="Avenir"/>
                <w:sz w:val="20"/>
                <w:szCs w:val="20"/>
              </w:rPr>
              <w:t>Introducir nombres y terminología específica para referirse a las diferentes características/variables de los candados ya las diferentes técnicas para realizar el recuento de los códigos de cada candado.</w:t>
            </w:r>
          </w:p>
          <w:p w14:paraId="4C8BD41D" w14:textId="77777777" w:rsidR="00E276D0" w:rsidRDefault="003F2994">
            <w:pPr>
              <w:numPr>
                <w:ilvl w:val="0"/>
                <w:numId w:val="1"/>
              </w:numPr>
              <w:spacing w:after="60" w:line="264" w:lineRule="auto"/>
              <w:jc w:val="both"/>
              <w:rPr>
                <w:sz w:val="20"/>
                <w:szCs w:val="20"/>
              </w:rPr>
            </w:pPr>
            <w:r>
              <w:rPr>
                <w:rFonts w:ascii="Avenir" w:eastAsia="Avenir" w:hAnsi="Avenir" w:cs="Avenir"/>
                <w:sz w:val="20"/>
                <w:szCs w:val="20"/>
              </w:rPr>
              <w:t>Empezar a establecer “modelos de candado” analizando sus principales variables y asociar aquellos que son equivalentes (</w:t>
            </w:r>
            <w:proofErr w:type="spellStart"/>
            <w:r>
              <w:rPr>
                <w:rFonts w:ascii="Avenir" w:eastAsia="Avenir" w:hAnsi="Avenir" w:cs="Avenir"/>
                <w:sz w:val="20"/>
                <w:szCs w:val="20"/>
              </w:rPr>
              <w:t>Nbr</w:t>
            </w:r>
            <w:proofErr w:type="spellEnd"/>
            <w:r>
              <w:rPr>
                <w:rFonts w:ascii="Avenir" w:eastAsia="Avenir" w:hAnsi="Avenir" w:cs="Avenir"/>
                <w:sz w:val="20"/>
                <w:szCs w:val="20"/>
              </w:rPr>
              <w:t>. elementos, elementos repetidos o no repetidos, etc.)</w:t>
            </w:r>
          </w:p>
          <w:p w14:paraId="4C8BD41E" w14:textId="77777777" w:rsidR="00E276D0" w:rsidRDefault="003F2994">
            <w:pPr>
              <w:spacing w:after="60" w:line="264" w:lineRule="auto"/>
              <w:ind w:left="12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>Para los estudiantes</w:t>
            </w:r>
          </w:p>
          <w:p w14:paraId="4C8BD41F" w14:textId="20F46591" w:rsidR="00E276D0" w:rsidRDefault="003F2994">
            <w:pPr>
              <w:numPr>
                <w:ilvl w:val="0"/>
                <w:numId w:val="1"/>
              </w:numPr>
              <w:spacing w:after="60" w:line="264" w:lineRule="auto"/>
              <w:jc w:val="both"/>
              <w:rPr>
                <w:sz w:val="20"/>
                <w:szCs w:val="20"/>
              </w:rPr>
            </w:pPr>
            <w:r>
              <w:rPr>
                <w:rFonts w:ascii="Avenir" w:eastAsia="Avenir" w:hAnsi="Avenir" w:cs="Avenir"/>
                <w:sz w:val="20"/>
                <w:szCs w:val="20"/>
              </w:rPr>
              <w:t xml:space="preserve">Estudiar la validez y extensión posible de las técnicas empleadas y tipos de justificaciones para una colección extendida de candados (a partir del estudio de </w:t>
            </w:r>
            <w:r>
              <w:rPr>
                <w:rFonts w:ascii="Avenir" w:eastAsia="Avenir" w:hAnsi="Avenir" w:cs="Avenir"/>
                <w:b/>
                <w:sz w:val="20"/>
                <w:szCs w:val="20"/>
              </w:rPr>
              <w:t>Q2</w:t>
            </w:r>
            <w:r>
              <w:rPr>
                <w:rFonts w:ascii="Avenir" w:eastAsia="Avenir" w:hAnsi="Avenir" w:cs="Avenir"/>
                <w:sz w:val="20"/>
                <w:szCs w:val="20"/>
              </w:rPr>
              <w:t xml:space="preserve">). En nuestro caso, esta colección extendida será con los mismos candados que en la </w:t>
            </w:r>
            <w:r>
              <w:rPr>
                <w:rFonts w:ascii="Avenir" w:eastAsia="Avenir" w:hAnsi="Avenir" w:cs="Avenir"/>
                <w:b/>
                <w:sz w:val="20"/>
                <w:szCs w:val="20"/>
              </w:rPr>
              <w:t xml:space="preserve">Fase 1 </w:t>
            </w:r>
            <w:r>
              <w:rPr>
                <w:rFonts w:ascii="Avenir" w:eastAsia="Avenir" w:hAnsi="Avenir" w:cs="Avenir"/>
                <w:sz w:val="20"/>
                <w:szCs w:val="20"/>
              </w:rPr>
              <w:t>con restricciones.</w:t>
            </w:r>
          </w:p>
          <w:p w14:paraId="4C8BD420" w14:textId="77777777" w:rsidR="00E276D0" w:rsidRDefault="003F2994">
            <w:pPr>
              <w:numPr>
                <w:ilvl w:val="0"/>
                <w:numId w:val="1"/>
              </w:numPr>
              <w:spacing w:after="60" w:line="264" w:lineRule="auto"/>
              <w:jc w:val="both"/>
              <w:rPr>
                <w:sz w:val="20"/>
                <w:szCs w:val="20"/>
              </w:rPr>
            </w:pPr>
            <w:r>
              <w:rPr>
                <w:rFonts w:ascii="Avenir" w:eastAsia="Avenir" w:hAnsi="Avenir" w:cs="Avenir"/>
                <w:sz w:val="20"/>
                <w:szCs w:val="20"/>
              </w:rPr>
              <w:t>Responsabilizarse de toda la colección de candados (con y sin restricciones) para conocer y profundizar en las características de cada uno de ellos.</w:t>
            </w:r>
          </w:p>
          <w:p w14:paraId="4C8BD421" w14:textId="77777777" w:rsidR="00E276D0" w:rsidRDefault="003F2994">
            <w:pPr>
              <w:numPr>
                <w:ilvl w:val="0"/>
                <w:numId w:val="1"/>
              </w:numPr>
              <w:spacing w:after="60" w:line="264" w:lineRule="auto"/>
              <w:jc w:val="both"/>
              <w:rPr>
                <w:sz w:val="20"/>
                <w:szCs w:val="20"/>
              </w:rPr>
            </w:pPr>
            <w:r>
              <w:rPr>
                <w:rFonts w:ascii="Avenir" w:eastAsia="Avenir" w:hAnsi="Avenir" w:cs="Avenir"/>
                <w:sz w:val="20"/>
                <w:szCs w:val="20"/>
              </w:rPr>
              <w:t>Desarrollar competencias verbales, comunicativas y analíticas para formular, discutir, redactar y exponer las distintas cuestiones y respuestas en grupo de trabajo y grupo clase.</w:t>
            </w:r>
          </w:p>
        </w:tc>
      </w:tr>
      <w:tr w:rsidR="00E276D0" w14:paraId="4C8BD426" w14:textId="77777777">
        <w:trPr>
          <w:trHeight w:val="44"/>
        </w:trPr>
        <w:tc>
          <w:tcPr>
            <w:tcW w:w="135" w:type="dxa"/>
          </w:tcPr>
          <w:p w14:paraId="4C8BD423" w14:textId="77777777" w:rsidR="00E276D0" w:rsidRDefault="00E276D0">
            <w:pPr>
              <w:spacing w:line="300" w:lineRule="auto"/>
              <w:rPr>
                <w:rFonts w:ascii="Aptos" w:eastAsia="Aptos" w:hAnsi="Aptos" w:cs="Aptos"/>
                <w:sz w:val="20"/>
                <w:szCs w:val="20"/>
              </w:rPr>
            </w:pPr>
          </w:p>
        </w:tc>
        <w:tc>
          <w:tcPr>
            <w:tcW w:w="135" w:type="dxa"/>
          </w:tcPr>
          <w:p w14:paraId="4C8BD424" w14:textId="77777777" w:rsidR="00E276D0" w:rsidRDefault="00E276D0">
            <w:pPr>
              <w:spacing w:line="300" w:lineRule="auto"/>
              <w:rPr>
                <w:rFonts w:ascii="Aptos" w:eastAsia="Aptos" w:hAnsi="Aptos" w:cs="Aptos"/>
                <w:sz w:val="20"/>
                <w:szCs w:val="20"/>
              </w:rPr>
            </w:pPr>
          </w:p>
        </w:tc>
        <w:tc>
          <w:tcPr>
            <w:tcW w:w="9075" w:type="dxa"/>
          </w:tcPr>
          <w:p w14:paraId="4C8BD425" w14:textId="77777777" w:rsidR="00E276D0" w:rsidRDefault="00E276D0">
            <w:pPr>
              <w:spacing w:line="300" w:lineRule="auto"/>
              <w:rPr>
                <w:rFonts w:ascii="Avenir" w:eastAsia="Avenir" w:hAnsi="Avenir" w:cs="Avenir"/>
                <w:sz w:val="20"/>
                <w:szCs w:val="20"/>
              </w:rPr>
            </w:pPr>
          </w:p>
        </w:tc>
      </w:tr>
      <w:tr w:rsidR="00E276D0" w14:paraId="4C8BD46F" w14:textId="77777777">
        <w:trPr>
          <w:trHeight w:val="1023"/>
        </w:trPr>
        <w:tc>
          <w:tcPr>
            <w:tcW w:w="135" w:type="dxa"/>
            <w:shd w:val="clear" w:color="auto" w:fill="FDCAF3"/>
          </w:tcPr>
          <w:p w14:paraId="4C8BD427" w14:textId="77777777" w:rsidR="00E276D0" w:rsidRDefault="00E276D0">
            <w:pPr>
              <w:spacing w:line="300" w:lineRule="auto"/>
              <w:rPr>
                <w:rFonts w:ascii="Aptos" w:eastAsia="Aptos" w:hAnsi="Aptos" w:cs="Aptos"/>
                <w:sz w:val="20"/>
                <w:szCs w:val="20"/>
              </w:rPr>
            </w:pPr>
          </w:p>
        </w:tc>
        <w:tc>
          <w:tcPr>
            <w:tcW w:w="135" w:type="dxa"/>
          </w:tcPr>
          <w:p w14:paraId="4C8BD428" w14:textId="77777777" w:rsidR="00E276D0" w:rsidRDefault="00E276D0">
            <w:pPr>
              <w:spacing w:line="300" w:lineRule="auto"/>
              <w:rPr>
                <w:rFonts w:ascii="Aptos" w:eastAsia="Aptos" w:hAnsi="Aptos" w:cs="Aptos"/>
                <w:sz w:val="20"/>
                <w:szCs w:val="20"/>
              </w:rPr>
            </w:pPr>
          </w:p>
        </w:tc>
        <w:tc>
          <w:tcPr>
            <w:tcW w:w="9075" w:type="dxa"/>
          </w:tcPr>
          <w:p w14:paraId="4C8BD429" w14:textId="77777777" w:rsidR="00E276D0" w:rsidRDefault="003F2994">
            <w:pPr>
              <w:pStyle w:val="Heading1"/>
              <w:spacing w:before="240" w:after="240" w:line="240" w:lineRule="auto"/>
              <w:rPr>
                <w:rFonts w:ascii="Avenir" w:eastAsia="Avenir" w:hAnsi="Avenir" w:cs="Avenir"/>
                <w:color w:val="262626"/>
                <w:sz w:val="24"/>
                <w:szCs w:val="24"/>
              </w:rPr>
            </w:pPr>
            <w:r>
              <w:rPr>
                <w:rFonts w:ascii="Avenir" w:eastAsia="Avenir" w:hAnsi="Avenir" w:cs="Avenir"/>
                <w:color w:val="262626"/>
                <w:sz w:val="24"/>
                <w:szCs w:val="24"/>
              </w:rPr>
              <w:t>Estructura de la fase: momentos principales, temporización y dinámica de aula</w:t>
            </w:r>
          </w:p>
          <w:p w14:paraId="4C8BD42A" w14:textId="77777777" w:rsidR="00E276D0" w:rsidRDefault="003F2994">
            <w:pPr>
              <w:pStyle w:val="Heading2"/>
              <w:tabs>
                <w:tab w:val="left" w:pos="7076"/>
                <w:tab w:val="left" w:pos="7643"/>
              </w:tabs>
              <w:spacing w:before="160"/>
              <w:rPr>
                <w:rFonts w:ascii="Avenir" w:eastAsia="Avenir" w:hAnsi="Avenir" w:cs="Avenir"/>
                <w:color w:val="262626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color w:val="262626"/>
                <w:sz w:val="20"/>
                <w:szCs w:val="20"/>
              </w:rPr>
              <w:t xml:space="preserve">[1] Comparación de R1 y puesta en común de diferentes técnicas de recuento </w:t>
            </w:r>
            <w:r>
              <w:rPr>
                <w:rFonts w:ascii="Avenir" w:eastAsia="Avenir" w:hAnsi="Avenir" w:cs="Avenir"/>
                <w:color w:val="262626"/>
                <w:sz w:val="20"/>
                <w:szCs w:val="20"/>
              </w:rPr>
              <w:t>15 min</w:t>
            </w:r>
          </w:p>
          <w:p w14:paraId="4C8BD42B" w14:textId="77777777" w:rsidR="00E276D0" w:rsidRDefault="00E276D0">
            <w:pPr>
              <w:spacing w:after="120" w:line="264" w:lineRule="auto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2C" w14:textId="77777777" w:rsidR="00E276D0" w:rsidRDefault="003F2994">
            <w:pPr>
              <w:spacing w:after="120" w:line="264" w:lineRule="auto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  <w:r>
              <w:rPr>
                <w:rFonts w:ascii="Avenir" w:eastAsia="Avenir" w:hAnsi="Avenir" w:cs="Avenir"/>
                <w:sz w:val="20"/>
                <w:szCs w:val="20"/>
              </w:rPr>
              <w:t>INICIO: FINAL:</w:t>
            </w:r>
          </w:p>
          <w:p w14:paraId="4C8BD42D" w14:textId="77777777" w:rsidR="00E276D0" w:rsidRDefault="003F2994">
            <w:pPr>
              <w:spacing w:after="200" w:line="300" w:lineRule="auto"/>
              <w:rPr>
                <w:rFonts w:ascii="Avenir" w:eastAsia="Avenir" w:hAnsi="Avenir" w:cs="Avenir"/>
                <w:sz w:val="20"/>
                <w:szCs w:val="20"/>
              </w:rPr>
            </w:pPr>
            <w:r>
              <w:rPr>
                <w:rFonts w:ascii="Aptos" w:eastAsia="Aptos" w:hAnsi="Aptos" w:cs="Aptos"/>
                <w:sz w:val="20"/>
                <w:szCs w:val="20"/>
              </w:rPr>
              <w:br/>
              <w:t>COMENTARIOS:</w:t>
            </w:r>
          </w:p>
          <w:p w14:paraId="4C8BD42E" w14:textId="77777777" w:rsidR="00E276D0" w:rsidRDefault="00E276D0">
            <w:pPr>
              <w:spacing w:after="120" w:line="264" w:lineRule="auto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2F" w14:textId="77777777" w:rsidR="00E276D0" w:rsidRDefault="00E276D0">
            <w:pPr>
              <w:spacing w:after="120" w:line="264" w:lineRule="auto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30" w14:textId="77777777" w:rsidR="00E276D0" w:rsidRDefault="00E276D0">
            <w:pPr>
              <w:spacing w:after="120" w:line="264" w:lineRule="auto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31" w14:textId="77777777" w:rsidR="00E276D0" w:rsidRDefault="00E276D0">
            <w:pPr>
              <w:spacing w:after="120" w:line="264" w:lineRule="auto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32" w14:textId="77777777" w:rsidR="00E276D0" w:rsidRDefault="00E276D0">
            <w:pPr>
              <w:spacing w:after="120" w:line="264" w:lineRule="auto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33" w14:textId="77777777" w:rsidR="00E276D0" w:rsidRDefault="00E276D0">
            <w:pPr>
              <w:spacing w:after="120" w:line="264" w:lineRule="auto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34" w14:textId="77777777" w:rsidR="00E276D0" w:rsidRDefault="00E276D0">
            <w:pPr>
              <w:spacing w:after="120" w:line="264" w:lineRule="auto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35" w14:textId="77777777" w:rsidR="00E276D0" w:rsidRDefault="00E276D0">
            <w:pPr>
              <w:spacing w:after="120" w:line="264" w:lineRule="auto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36" w14:textId="77777777" w:rsidR="00E276D0" w:rsidRDefault="00E276D0">
            <w:pPr>
              <w:spacing w:after="120" w:line="264" w:lineRule="auto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37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38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39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3A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3B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3C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3D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3E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3F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40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41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42" w14:textId="77777777" w:rsidR="00E276D0" w:rsidRDefault="003F2994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sz w:val="16"/>
                <w:szCs w:val="16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 xml:space="preserve">[2] Presentación de Q2 y las restricciones o nueva información sobre los códigos de los candados </w:t>
            </w:r>
            <w:r>
              <w:rPr>
                <w:rFonts w:ascii="Avenir" w:eastAsia="Avenir" w:hAnsi="Avenir" w:cs="Avenir"/>
                <w:sz w:val="20"/>
                <w:szCs w:val="20"/>
              </w:rPr>
              <w:t>10 min</w:t>
            </w:r>
          </w:p>
          <w:p w14:paraId="4C8BD443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sz w:val="16"/>
                <w:szCs w:val="16"/>
              </w:rPr>
            </w:pPr>
          </w:p>
          <w:p w14:paraId="4C8BD444" w14:textId="77777777" w:rsidR="00E276D0" w:rsidRDefault="003F2994">
            <w:pPr>
              <w:spacing w:after="120" w:line="264" w:lineRule="auto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  <w:r>
              <w:rPr>
                <w:rFonts w:ascii="Avenir" w:eastAsia="Avenir" w:hAnsi="Avenir" w:cs="Avenir"/>
                <w:sz w:val="20"/>
                <w:szCs w:val="20"/>
              </w:rPr>
              <w:t>INICIO: FINAL:</w:t>
            </w:r>
          </w:p>
          <w:p w14:paraId="4C8BD445" w14:textId="77777777" w:rsidR="00E276D0" w:rsidRDefault="003F2994">
            <w:pPr>
              <w:spacing w:after="200" w:line="300" w:lineRule="auto"/>
              <w:rPr>
                <w:rFonts w:ascii="Avenir" w:eastAsia="Avenir" w:hAnsi="Avenir" w:cs="Avenir"/>
                <w:b/>
                <w:sz w:val="20"/>
                <w:szCs w:val="20"/>
              </w:rPr>
            </w:pPr>
            <w:r>
              <w:rPr>
                <w:rFonts w:ascii="Aptos" w:eastAsia="Aptos" w:hAnsi="Aptos" w:cs="Aptos"/>
                <w:sz w:val="20"/>
                <w:szCs w:val="20"/>
              </w:rPr>
              <w:br/>
              <w:t>COMENTARIOS:</w:t>
            </w:r>
          </w:p>
          <w:p w14:paraId="4C8BD446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47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48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49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4A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4B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4C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4D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4E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4F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50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51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52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53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54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55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b/>
                <w:sz w:val="20"/>
                <w:szCs w:val="20"/>
              </w:rPr>
            </w:pPr>
          </w:p>
          <w:p w14:paraId="4C8BD456" w14:textId="77777777" w:rsidR="00E276D0" w:rsidRDefault="003F2994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 xml:space="preserve">[3] </w:t>
            </w:r>
            <w:r>
              <w:rPr>
                <w:rFonts w:ascii="Avenir" w:eastAsia="Avenir" w:hAnsi="Avenir" w:cs="Avenir"/>
                <w:b/>
                <w:color w:val="262626"/>
                <w:sz w:val="20"/>
                <w:szCs w:val="20"/>
              </w:rPr>
              <w:t>Estudio grupal de Q2, responsabilizándose ahora de todos los candados</w:t>
            </w:r>
            <w:r>
              <w:rPr>
                <w:rFonts w:ascii="Avenir" w:eastAsia="Avenir" w:hAnsi="Avenir" w:cs="Avenir"/>
                <w:b/>
                <w:sz w:val="20"/>
                <w:szCs w:val="20"/>
              </w:rPr>
              <w:t xml:space="preserve">                      </w:t>
            </w:r>
            <w:r>
              <w:rPr>
                <w:rFonts w:ascii="Avenir" w:eastAsia="Avenir" w:hAnsi="Avenir" w:cs="Avenir"/>
                <w:sz w:val="20"/>
                <w:szCs w:val="20"/>
              </w:rPr>
              <w:t>45-60 minutos</w:t>
            </w:r>
          </w:p>
          <w:p w14:paraId="4C8BD457" w14:textId="77777777" w:rsidR="00E276D0" w:rsidRDefault="003F2994">
            <w:pPr>
              <w:spacing w:after="120" w:line="264" w:lineRule="auto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  <w:r>
              <w:rPr>
                <w:rFonts w:ascii="Avenir" w:eastAsia="Avenir" w:hAnsi="Avenir" w:cs="Avenir"/>
                <w:sz w:val="20"/>
                <w:szCs w:val="20"/>
              </w:rPr>
              <w:t>INICIO: FINAL:</w:t>
            </w:r>
          </w:p>
          <w:p w14:paraId="4C8BD458" w14:textId="77777777" w:rsidR="00E276D0" w:rsidRDefault="003F2994">
            <w:pPr>
              <w:spacing w:after="200" w:line="300" w:lineRule="auto"/>
              <w:rPr>
                <w:rFonts w:ascii="Avenir" w:eastAsia="Avenir" w:hAnsi="Avenir" w:cs="Avenir"/>
                <w:sz w:val="20"/>
                <w:szCs w:val="20"/>
              </w:rPr>
            </w:pPr>
            <w:r>
              <w:rPr>
                <w:rFonts w:ascii="Aptos" w:eastAsia="Aptos" w:hAnsi="Aptos" w:cs="Aptos"/>
                <w:sz w:val="20"/>
                <w:szCs w:val="20"/>
              </w:rPr>
              <w:br/>
              <w:t>COMENTARIOS</w:t>
            </w:r>
          </w:p>
          <w:p w14:paraId="4C8BD459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5A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5B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5C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5D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5E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5F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60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61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62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63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64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65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66" w14:textId="77777777" w:rsidR="00E276D0" w:rsidRDefault="003F2994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  <w:r>
              <w:rPr>
                <w:rFonts w:ascii="Avenir" w:eastAsia="Avenir" w:hAnsi="Avenir" w:cs="Avenir"/>
                <w:b/>
                <w:sz w:val="20"/>
                <w:szCs w:val="20"/>
              </w:rPr>
              <w:t xml:space="preserve">[4] Puesta en común de las respuestas a Q2 </w:t>
            </w:r>
            <w:r>
              <w:rPr>
                <w:rFonts w:ascii="Avenir" w:eastAsia="Avenir" w:hAnsi="Avenir" w:cs="Avenir"/>
                <w:sz w:val="20"/>
                <w:szCs w:val="20"/>
              </w:rPr>
              <w:t>10 minutos</w:t>
            </w:r>
          </w:p>
          <w:p w14:paraId="4C8BD467" w14:textId="77777777" w:rsidR="00E276D0" w:rsidRDefault="003F2994">
            <w:pPr>
              <w:spacing w:after="120" w:line="264" w:lineRule="auto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  <w:r>
              <w:rPr>
                <w:rFonts w:ascii="Avenir" w:eastAsia="Avenir" w:hAnsi="Avenir" w:cs="Avenir"/>
                <w:sz w:val="20"/>
                <w:szCs w:val="20"/>
              </w:rPr>
              <w:t>INICIO: FINAL:</w:t>
            </w:r>
          </w:p>
          <w:p w14:paraId="4C8BD468" w14:textId="77777777" w:rsidR="00E276D0" w:rsidRDefault="003F2994">
            <w:pPr>
              <w:spacing w:after="200" w:line="300" w:lineRule="auto"/>
              <w:rPr>
                <w:rFonts w:ascii="Avenir" w:eastAsia="Avenir" w:hAnsi="Avenir" w:cs="Avenir"/>
                <w:sz w:val="20"/>
                <w:szCs w:val="20"/>
              </w:rPr>
            </w:pPr>
            <w:r>
              <w:rPr>
                <w:rFonts w:ascii="Aptos" w:eastAsia="Aptos" w:hAnsi="Aptos" w:cs="Aptos"/>
                <w:sz w:val="20"/>
                <w:szCs w:val="20"/>
              </w:rPr>
              <w:br/>
              <w:t>COMENTARIOS</w:t>
            </w:r>
          </w:p>
          <w:p w14:paraId="4C8BD469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6A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6B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6C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6D" w14:textId="77777777" w:rsidR="00E276D0" w:rsidRDefault="00E276D0">
            <w:pPr>
              <w:tabs>
                <w:tab w:val="left" w:pos="7076"/>
                <w:tab w:val="left" w:pos="7784"/>
              </w:tabs>
              <w:spacing w:after="120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  <w:p w14:paraId="4C8BD46E" w14:textId="77777777" w:rsidR="00E276D0" w:rsidRDefault="00E276D0">
            <w:pPr>
              <w:spacing w:after="120" w:line="264" w:lineRule="auto"/>
              <w:jc w:val="both"/>
              <w:rPr>
                <w:rFonts w:ascii="Avenir" w:eastAsia="Avenir" w:hAnsi="Avenir" w:cs="Avenir"/>
                <w:sz w:val="20"/>
                <w:szCs w:val="20"/>
              </w:rPr>
            </w:pPr>
          </w:p>
        </w:tc>
      </w:tr>
      <w:tr w:rsidR="00E276D0" w14:paraId="4C8BD473" w14:textId="77777777">
        <w:trPr>
          <w:trHeight w:val="8442"/>
        </w:trPr>
        <w:tc>
          <w:tcPr>
            <w:tcW w:w="135" w:type="dxa"/>
          </w:tcPr>
          <w:p w14:paraId="4C8BD470" w14:textId="77777777" w:rsidR="00E276D0" w:rsidRDefault="00E276D0">
            <w:pPr>
              <w:spacing w:line="300" w:lineRule="auto"/>
              <w:rPr>
                <w:rFonts w:ascii="Aptos" w:eastAsia="Aptos" w:hAnsi="Aptos" w:cs="Aptos"/>
                <w:sz w:val="20"/>
                <w:szCs w:val="20"/>
              </w:rPr>
            </w:pPr>
          </w:p>
        </w:tc>
        <w:tc>
          <w:tcPr>
            <w:tcW w:w="135" w:type="dxa"/>
          </w:tcPr>
          <w:p w14:paraId="4C8BD471" w14:textId="77777777" w:rsidR="00E276D0" w:rsidRDefault="00E276D0">
            <w:pPr>
              <w:spacing w:line="300" w:lineRule="auto"/>
              <w:rPr>
                <w:rFonts w:ascii="Aptos" w:eastAsia="Aptos" w:hAnsi="Aptos" w:cs="Aptos"/>
                <w:sz w:val="20"/>
                <w:szCs w:val="20"/>
              </w:rPr>
            </w:pPr>
          </w:p>
        </w:tc>
        <w:tc>
          <w:tcPr>
            <w:tcW w:w="9075" w:type="dxa"/>
          </w:tcPr>
          <w:p w14:paraId="4C8BD472" w14:textId="77777777" w:rsidR="00E276D0" w:rsidRDefault="00E276D0">
            <w:pPr>
              <w:spacing w:after="200" w:line="300" w:lineRule="auto"/>
              <w:rPr>
                <w:rFonts w:ascii="Aptos" w:eastAsia="Aptos" w:hAnsi="Aptos" w:cs="Aptos"/>
                <w:sz w:val="20"/>
                <w:szCs w:val="20"/>
              </w:rPr>
            </w:pPr>
          </w:p>
        </w:tc>
      </w:tr>
      <w:tr w:rsidR="00E276D0" w14:paraId="4C8BD475" w14:textId="77777777">
        <w:trPr>
          <w:gridAfter w:val="2"/>
          <w:wAfter w:w="9210" w:type="dxa"/>
          <w:trHeight w:val="44"/>
        </w:trPr>
        <w:tc>
          <w:tcPr>
            <w:tcW w:w="135" w:type="dxa"/>
          </w:tcPr>
          <w:p w14:paraId="4C8BD474" w14:textId="77777777" w:rsidR="00E276D0" w:rsidRDefault="00E276D0">
            <w:pPr>
              <w:spacing w:line="300" w:lineRule="auto"/>
              <w:rPr>
                <w:rFonts w:ascii="Aptos" w:eastAsia="Aptos" w:hAnsi="Aptos" w:cs="Aptos"/>
                <w:sz w:val="20"/>
                <w:szCs w:val="20"/>
              </w:rPr>
            </w:pPr>
          </w:p>
        </w:tc>
      </w:tr>
    </w:tbl>
    <w:p w14:paraId="4C8BD476" w14:textId="77777777" w:rsidR="00E276D0" w:rsidRDefault="00E276D0">
      <w:pPr>
        <w:spacing w:line="240" w:lineRule="auto"/>
        <w:rPr>
          <w:rFonts w:ascii="Aptos" w:eastAsia="Aptos" w:hAnsi="Aptos" w:cs="Aptos"/>
          <w:sz w:val="20"/>
          <w:szCs w:val="20"/>
        </w:rPr>
      </w:pPr>
    </w:p>
    <w:p w14:paraId="4C8BD477" w14:textId="77777777" w:rsidR="00E276D0" w:rsidRDefault="00E276D0"/>
    <w:sectPr w:rsidR="00E276D0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8BD47D" w14:textId="77777777" w:rsidR="003F2994" w:rsidRDefault="003F2994">
      <w:pPr>
        <w:spacing w:line="240" w:lineRule="auto"/>
      </w:pPr>
      <w:r>
        <w:separator/>
      </w:r>
    </w:p>
  </w:endnote>
  <w:endnote w:type="continuationSeparator" w:id="0">
    <w:p w14:paraId="4C8BD47F" w14:textId="77777777" w:rsidR="003F2994" w:rsidRDefault="003F29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7A48A966-96EE-4617-8850-8021BA1FD54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">
    <w:altName w:val="Calibri"/>
    <w:charset w:val="00"/>
    <w:family w:val="auto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1EEC4E7C-D9FF-47CD-9057-68C4FDBB829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F0AA081-7882-40FC-9F99-ECB8D8DA0B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4FE7467-C616-430C-8490-0D0B2CA59DD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8BD479" w14:textId="77777777" w:rsidR="003F2994" w:rsidRDefault="003F2994">
      <w:pPr>
        <w:spacing w:line="240" w:lineRule="auto"/>
      </w:pPr>
      <w:r>
        <w:separator/>
      </w:r>
    </w:p>
  </w:footnote>
  <w:footnote w:type="continuationSeparator" w:id="0">
    <w:p w14:paraId="4C8BD47B" w14:textId="77777777" w:rsidR="003F2994" w:rsidRDefault="003F29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8BD478" w14:textId="77777777" w:rsidR="00E276D0" w:rsidRDefault="003F2994">
    <w:pPr>
      <w:tabs>
        <w:tab w:val="center" w:pos="4513"/>
        <w:tab w:val="right" w:pos="9026"/>
      </w:tabs>
      <w:spacing w:line="240" w:lineRule="auto"/>
      <w:jc w:val="right"/>
    </w:pPr>
    <w:r>
      <w:rPr>
        <w:rFonts w:ascii="Aptos" w:eastAsia="Aptos" w:hAnsi="Aptos" w:cs="Aptos"/>
      </w:rPr>
      <w:t xml:space="preserve"> </w:t>
    </w:r>
    <w:r>
      <w:rPr>
        <w:rFonts w:ascii="Aptos" w:eastAsia="Aptos" w:hAnsi="Aptos" w:cs="Aptos"/>
      </w:rPr>
      <w:tab/>
    </w:r>
    <w:r>
      <w:rPr>
        <w:rFonts w:ascii="Avenir" w:eastAsia="Avenir" w:hAnsi="Avenir" w:cs="Avenir"/>
        <w:b/>
        <w:sz w:val="24"/>
        <w:szCs w:val="24"/>
      </w:rPr>
      <w:t xml:space="preserve">FASE 2 </w:t>
    </w:r>
    <w:r>
      <w:rPr>
        <w:rFonts w:ascii="Avenir" w:eastAsia="Avenir" w:hAnsi="Avenir" w:cs="Avenir"/>
        <w:sz w:val="24"/>
        <w:szCs w:val="24"/>
      </w:rPr>
      <w:t>- Situación Candados</w:t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4C8BD479" wp14:editId="4C8BD47A">
              <wp:simplePos x="0" y="0"/>
              <wp:positionH relativeFrom="column">
                <wp:posOffset>114300</wp:posOffset>
              </wp:positionH>
              <wp:positionV relativeFrom="paragraph">
                <wp:posOffset>14657</wp:posOffset>
              </wp:positionV>
              <wp:extent cx="1718945" cy="666115"/>
              <wp:effectExtent l="0" t="0" r="0" b="0"/>
              <wp:wrapSquare wrapText="bothSides" distT="0" distB="0" distL="114300" distR="114300"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18945" cy="666115"/>
                        <a:chOff x="4486525" y="3446925"/>
                        <a:chExt cx="1718950" cy="805450"/>
                      </a:xfrm>
                    </wpg:grpSpPr>
                    <wpg:grpSp>
                      <wpg:cNvPr id="1427313679" name="Group 1427313679"/>
                      <wpg:cNvGrpSpPr/>
                      <wpg:grpSpPr>
                        <a:xfrm>
                          <a:off x="4486528" y="3446943"/>
                          <a:ext cx="1718945" cy="805416"/>
                          <a:chOff x="0" y="0"/>
                          <a:chExt cx="2011680" cy="894327"/>
                        </a:xfrm>
                      </wpg:grpSpPr>
                      <wps:wsp>
                        <wps:cNvPr id="1349463855" name="Rectangle 1349463855"/>
                        <wps:cNvSpPr/>
                        <wps:spPr>
                          <a:xfrm>
                            <a:off x="0" y="0"/>
                            <a:ext cx="2011675" cy="73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8BD47B" w14:textId="77777777" w:rsidR="00E276D0" w:rsidRDefault="00E276D0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Shape 4" descr="A pink hexagon with black background&#10;&#10;Description automatically generated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1554480" y="0"/>
                            <a:ext cx="457200" cy="506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Shape 5" descr="A red circle with black background&#10;&#10;Description automatically generated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657860" cy="65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Shape 6" descr="A purple square with white dots&#10;&#10;Description automatically generated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/>
                          <a:stretch/>
                        </pic:blipFill>
                        <pic:spPr>
                          <a:xfrm rot="9135914" flipH="1">
                            <a:off x="672592" y="366268"/>
                            <a:ext cx="75692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 xmlns:a="http://schemas.openxmlformats.org/drawingml/2006/main" xmlns:pic="http://schemas.openxmlformats.org/drawingml/2006/picture"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114300</wp:posOffset>
              </wp:positionH>
              <wp:positionV relativeFrom="paragraph">
                <wp:posOffset>14657</wp:posOffset>
              </wp:positionV>
              <wp:extent cx="1718945" cy="666115"/>
              <wp:effectExtent b="0" l="0" r="0" t="0"/>
              <wp:wrapSquare wrapText="bothSides" distB="0" distT="0" distL="114300" distR="11430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18945" cy="6661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53380E"/>
    <w:multiLevelType w:val="multilevel"/>
    <w:tmpl w:val="49942BF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03696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8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76D0"/>
    <w:rsid w:val="003F2994"/>
    <w:rsid w:val="00C03DB3"/>
    <w:rsid w:val="00E27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BD411"/>
  <w15:docId w15:val="{856FA7F1-BC4E-43A1-87C2-A1121541B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300</Words>
  <Characters>1652</Characters>
  <Application>Microsoft Office Word</Application>
  <DocSecurity>0</DocSecurity>
  <Lines>13</Lines>
  <Paragraphs>3</Paragraphs>
  <ScaleCrop>false</ScaleCrop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Susana Vásquez</cp:lastModifiedBy>
  <cp:revision>2</cp:revision>
  <dcterms:created xsi:type="dcterms:W3CDTF">2025-01-14T07:36:00Z</dcterms:created>
  <dcterms:modified xsi:type="dcterms:W3CDTF">2025-01-14T07:36:00Z</dcterms:modified>
</cp:coreProperties>
</file>