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B4AB" w14:textId="77777777" w:rsidR="00910DC9" w:rsidRPr="000B62AF" w:rsidRDefault="00910DC9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2BA1B4AC" w14:textId="77777777" w:rsidR="00910DC9" w:rsidRPr="000B62AF" w:rsidRDefault="00910DC9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2BA1B4AD" w14:textId="77777777" w:rsidR="00910DC9" w:rsidRPr="000B62AF" w:rsidRDefault="000B62AF">
      <w:pPr>
        <w:spacing w:line="300" w:lineRule="auto"/>
        <w:jc w:val="center"/>
        <w:rPr>
          <w:rFonts w:ascii="Avenir" w:eastAsia="Avenir" w:hAnsi="Avenir" w:cs="Avenir"/>
          <w:b/>
          <w:sz w:val="24"/>
          <w:szCs w:val="24"/>
        </w:rPr>
      </w:pPr>
      <w:r w:rsidRPr="000B62AF">
        <w:rPr>
          <w:rFonts w:ascii="Avenir" w:eastAsia="Avenir" w:hAnsi="Avenir" w:cs="Avenir"/>
          <w:b/>
          <w:sz w:val="24"/>
          <w:szCs w:val="24"/>
        </w:rPr>
        <w:t>GUIA D’OBSERVACIÓ I DE COMENTARIS DELS DOCENTS</w:t>
      </w:r>
    </w:p>
    <w:p w14:paraId="2BA1B4AE" w14:textId="77777777" w:rsidR="00910DC9" w:rsidRPr="000B62AF" w:rsidRDefault="00910DC9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2BA1B4AF" w14:textId="77777777" w:rsidR="00910DC9" w:rsidRPr="000B62AF" w:rsidRDefault="000B62AF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  <w:r w:rsidRPr="000B62AF">
        <w:rPr>
          <w:rFonts w:ascii="Avenir" w:eastAsia="Avenir" w:hAnsi="Avenir" w:cs="Avenir"/>
          <w:b/>
          <w:sz w:val="24"/>
          <w:szCs w:val="24"/>
        </w:rPr>
        <w:t>Fase 2: Validació amb una col·lecció cadenats amb restriccions</w:t>
      </w:r>
    </w:p>
    <w:tbl>
      <w:tblPr>
        <w:tblStyle w:val="a"/>
        <w:tblW w:w="9345" w:type="dxa"/>
        <w:tblLayout w:type="fixed"/>
        <w:tblLook w:val="0400" w:firstRow="0" w:lastRow="0" w:firstColumn="0" w:lastColumn="0" w:noHBand="0" w:noVBand="1"/>
      </w:tblPr>
      <w:tblGrid>
        <w:gridCol w:w="135"/>
        <w:gridCol w:w="135"/>
        <w:gridCol w:w="9075"/>
      </w:tblGrid>
      <w:tr w:rsidR="00910DC9" w:rsidRPr="000B62AF" w14:paraId="2BA1B4BC" w14:textId="77777777">
        <w:trPr>
          <w:trHeight w:val="3743"/>
        </w:trPr>
        <w:tc>
          <w:tcPr>
            <w:tcW w:w="135" w:type="dxa"/>
            <w:shd w:val="clear" w:color="auto" w:fill="5E3BFF"/>
          </w:tcPr>
          <w:p w14:paraId="2BA1B4B0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2BA1B4B1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2BA1B4B2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2BA1B4B3" w14:textId="77777777" w:rsidR="00910DC9" w:rsidRPr="000B62AF" w:rsidRDefault="000B62AF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 w:rsidRPr="000B62AF"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Objectius i qüestions principals</w:t>
            </w:r>
          </w:p>
          <w:p w14:paraId="2BA1B4B4" w14:textId="77777777" w:rsidR="00910DC9" w:rsidRPr="000B62AF" w:rsidRDefault="000B62AF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>Per al docent</w:t>
            </w:r>
          </w:p>
          <w:p w14:paraId="2BA1B4B5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Posar en comú les diferents tècniques per a efectuar el recompte del nombre de codis d’un cadenat que hagin sorgit en l’exposició dels grups de treball.</w:t>
            </w:r>
          </w:p>
          <w:p w14:paraId="2BA1B4B6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Introduir noms i terminologia específica per referir-se a les diferents característiques/variables dels cadenats i a les diferents tècniques per a fer el recompte dels codis de cada cadenat.</w:t>
            </w:r>
          </w:p>
          <w:p w14:paraId="2BA1B4B7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Començar a establir “models de cadenat” analitzant les seves variables principals i associar aquells que són equivalents (</w:t>
            </w:r>
            <w:proofErr w:type="spellStart"/>
            <w:r w:rsidRPr="000B62AF">
              <w:rPr>
                <w:rFonts w:ascii="Avenir" w:eastAsia="Avenir" w:hAnsi="Avenir" w:cs="Avenir"/>
                <w:sz w:val="20"/>
                <w:szCs w:val="20"/>
              </w:rPr>
              <w:t>Nbr</w:t>
            </w:r>
            <w:proofErr w:type="spellEnd"/>
            <w:r w:rsidRPr="000B62AF">
              <w:rPr>
                <w:rFonts w:ascii="Avenir" w:eastAsia="Avenir" w:hAnsi="Avenir" w:cs="Avenir"/>
                <w:sz w:val="20"/>
                <w:szCs w:val="20"/>
              </w:rPr>
              <w:t>. elements, elements repetits o no repetits, etc.)</w:t>
            </w:r>
          </w:p>
          <w:p w14:paraId="2BA1B4B8" w14:textId="77777777" w:rsidR="00910DC9" w:rsidRPr="000B62AF" w:rsidRDefault="000B62AF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>Per als estudiants</w:t>
            </w:r>
          </w:p>
          <w:p w14:paraId="2BA1B4B9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 xml:space="preserve">Estudiar la validesa i extensió possible de les tècniques emprades i tipus de justificacions per a una col·lecció estesa de cadenats (a partir de l’estudi de </w:t>
            </w: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>Q2</w:t>
            </w:r>
            <w:r w:rsidRPr="000B62AF">
              <w:rPr>
                <w:rFonts w:ascii="Avenir" w:eastAsia="Avenir" w:hAnsi="Avenir" w:cs="Avenir"/>
                <w:sz w:val="20"/>
                <w:szCs w:val="20"/>
              </w:rPr>
              <w:t xml:space="preserve">). En el nostre cas, aquesta col·lecció estesa serà amb els mateixos cadenats que a la </w:t>
            </w: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>Fase 1</w:t>
            </w:r>
            <w:r w:rsidRPr="000B62AF">
              <w:rPr>
                <w:rFonts w:ascii="Avenir" w:eastAsia="Avenir" w:hAnsi="Avenir" w:cs="Avenir"/>
                <w:sz w:val="20"/>
                <w:szCs w:val="20"/>
              </w:rPr>
              <w:t xml:space="preserve"> amb restriccions.</w:t>
            </w:r>
          </w:p>
          <w:p w14:paraId="2BA1B4BA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 xml:space="preserve">Responsabilitzar-se de tota la col·lecció de cadenats (amb i sense restriccions) per conèixer i aprofundir en les característiques de cadascun d’aquests. </w:t>
            </w:r>
          </w:p>
          <w:p w14:paraId="2BA1B4BB" w14:textId="77777777" w:rsidR="00910DC9" w:rsidRPr="000B62AF" w:rsidRDefault="000B62AF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 xml:space="preserve">Desenvolupar competències verbals, comunicatives i analítiques per formular, discutir, redactar i exposar les diferents qüestions i respostes en grup de treball i grup classe. </w:t>
            </w:r>
          </w:p>
        </w:tc>
      </w:tr>
      <w:tr w:rsidR="00910DC9" w:rsidRPr="000B62AF" w14:paraId="2BA1B4C0" w14:textId="77777777">
        <w:trPr>
          <w:trHeight w:val="44"/>
        </w:trPr>
        <w:tc>
          <w:tcPr>
            <w:tcW w:w="135" w:type="dxa"/>
          </w:tcPr>
          <w:p w14:paraId="2BA1B4BD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2BA1B4BE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2BA1B4BF" w14:textId="77777777" w:rsidR="00910DC9" w:rsidRPr="000B62AF" w:rsidRDefault="00910DC9">
            <w:pPr>
              <w:spacing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910DC9" w:rsidRPr="000B62AF" w14:paraId="2BA1B509" w14:textId="77777777">
        <w:trPr>
          <w:trHeight w:val="1023"/>
        </w:trPr>
        <w:tc>
          <w:tcPr>
            <w:tcW w:w="135" w:type="dxa"/>
            <w:shd w:val="clear" w:color="auto" w:fill="FDCAF3"/>
          </w:tcPr>
          <w:p w14:paraId="2BA1B4C1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2BA1B4C2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2BA1B4C3" w14:textId="77777777" w:rsidR="00910DC9" w:rsidRPr="000B62AF" w:rsidRDefault="000B62AF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 w:rsidRPr="000B62AF"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moments principals, temporització i dinàmica d’aula</w:t>
            </w:r>
          </w:p>
          <w:p w14:paraId="2BA1B4C4" w14:textId="77777777" w:rsidR="00910DC9" w:rsidRPr="000B62AF" w:rsidRDefault="000B62AF">
            <w:pPr>
              <w:pStyle w:val="Heading2"/>
              <w:tabs>
                <w:tab w:val="left" w:pos="7076"/>
                <w:tab w:val="left" w:pos="7643"/>
              </w:tabs>
              <w:spacing w:before="160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Comparació de R1 i posada en comú de diferents tècniques de recompte        </w:t>
            </w:r>
            <w:r w:rsidRPr="000B62AF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15 min</w:t>
            </w:r>
          </w:p>
          <w:p w14:paraId="2BA1B4C5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6" w14:textId="77777777" w:rsidR="00910DC9" w:rsidRPr="000B62AF" w:rsidRDefault="000B62A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2BA1B4C7" w14:textId="77777777" w:rsidR="00910DC9" w:rsidRPr="000B62AF" w:rsidRDefault="000B62AF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ptos" w:eastAsia="Aptos" w:hAnsi="Aptos" w:cs="Aptos"/>
                <w:sz w:val="20"/>
                <w:szCs w:val="20"/>
              </w:rPr>
              <w:br/>
              <w:t>COMENTARIS:    </w:t>
            </w:r>
          </w:p>
          <w:p w14:paraId="2BA1B4C8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9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A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B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C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D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E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CF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D0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D1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2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3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4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5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6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7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8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9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A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B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DC" w14:textId="77777777" w:rsidR="00910DC9" w:rsidRPr="000B62AF" w:rsidRDefault="000B62A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16"/>
                <w:szCs w:val="16"/>
              </w:rPr>
            </w:pP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 xml:space="preserve">[2] Presentació de Q2 i les restriccions o nova informació sobre els codis dels cadenats    </w:t>
            </w:r>
            <w:r w:rsidRPr="000B62AF">
              <w:rPr>
                <w:rFonts w:ascii="Avenir" w:eastAsia="Avenir" w:hAnsi="Avenir" w:cs="Avenir"/>
                <w:sz w:val="20"/>
                <w:szCs w:val="20"/>
              </w:rPr>
              <w:t>10 min</w:t>
            </w:r>
          </w:p>
          <w:p w14:paraId="2BA1B4DD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16"/>
                <w:szCs w:val="16"/>
              </w:rPr>
            </w:pPr>
          </w:p>
          <w:p w14:paraId="2BA1B4DE" w14:textId="77777777" w:rsidR="00910DC9" w:rsidRPr="000B62AF" w:rsidRDefault="000B62A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2BA1B4DF" w14:textId="77777777" w:rsidR="00910DC9" w:rsidRPr="000B62AF" w:rsidRDefault="000B62AF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  <w:r w:rsidRPr="000B62AF">
              <w:rPr>
                <w:rFonts w:ascii="Aptos" w:eastAsia="Aptos" w:hAnsi="Aptos" w:cs="Aptos"/>
                <w:sz w:val="20"/>
                <w:szCs w:val="20"/>
              </w:rPr>
              <w:br/>
              <w:t>COMENTARIS:    </w:t>
            </w:r>
          </w:p>
          <w:p w14:paraId="2BA1B4E0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1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2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3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4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5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6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7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8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9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A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B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C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D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E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EF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2BA1B4F0" w14:textId="77777777" w:rsidR="00910DC9" w:rsidRPr="000B62AF" w:rsidRDefault="000B62A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 xml:space="preserve">[3] </w:t>
            </w:r>
            <w:r w:rsidRPr="000B62AF"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Estudi grupal de Q2, responsabilitzant-se ara de tots els cadenats  </w:t>
            </w: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 xml:space="preserve">                      </w:t>
            </w:r>
            <w:r w:rsidRPr="000B62AF">
              <w:rPr>
                <w:rFonts w:ascii="Avenir" w:eastAsia="Avenir" w:hAnsi="Avenir" w:cs="Avenir"/>
                <w:sz w:val="20"/>
                <w:szCs w:val="20"/>
              </w:rPr>
              <w:t>45-60 minuts</w:t>
            </w:r>
          </w:p>
          <w:p w14:paraId="2BA1B4F1" w14:textId="77777777" w:rsidR="00910DC9" w:rsidRPr="000B62AF" w:rsidRDefault="000B62A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2BA1B4F2" w14:textId="77777777" w:rsidR="00910DC9" w:rsidRPr="000B62AF" w:rsidRDefault="000B62AF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ptos" w:eastAsia="Aptos" w:hAnsi="Aptos" w:cs="Aptos"/>
                <w:sz w:val="20"/>
                <w:szCs w:val="20"/>
              </w:rPr>
              <w:br/>
              <w:t>COMENTARIS</w:t>
            </w:r>
          </w:p>
          <w:p w14:paraId="2BA1B4F3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4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5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6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7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8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9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A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B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C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D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E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4FF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0" w14:textId="77777777" w:rsidR="00910DC9" w:rsidRPr="000B62AF" w:rsidRDefault="000B62AF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b/>
                <w:sz w:val="20"/>
                <w:szCs w:val="20"/>
              </w:rPr>
              <w:t xml:space="preserve">[4] Posada en comú de les respostes a Q2                                                                      </w:t>
            </w:r>
            <w:r w:rsidRPr="000B62AF">
              <w:rPr>
                <w:rFonts w:ascii="Avenir" w:eastAsia="Avenir" w:hAnsi="Avenir" w:cs="Avenir"/>
                <w:sz w:val="20"/>
                <w:szCs w:val="20"/>
              </w:rPr>
              <w:t>10 minuts</w:t>
            </w:r>
          </w:p>
          <w:p w14:paraId="2BA1B501" w14:textId="77777777" w:rsidR="00910DC9" w:rsidRPr="000B62AF" w:rsidRDefault="000B62AF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venir" w:eastAsia="Avenir" w:hAnsi="Avenir" w:cs="Avenir"/>
                <w:sz w:val="20"/>
                <w:szCs w:val="20"/>
              </w:rPr>
              <w:t>INICI:                                  FINAL: </w:t>
            </w:r>
          </w:p>
          <w:p w14:paraId="2BA1B502" w14:textId="77777777" w:rsidR="00910DC9" w:rsidRPr="000B62AF" w:rsidRDefault="000B62AF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  <w:r w:rsidRPr="000B62AF">
              <w:rPr>
                <w:rFonts w:ascii="Aptos" w:eastAsia="Aptos" w:hAnsi="Aptos" w:cs="Aptos"/>
                <w:sz w:val="20"/>
                <w:szCs w:val="20"/>
              </w:rPr>
              <w:br/>
              <w:t>COMENTARIS</w:t>
            </w:r>
          </w:p>
          <w:p w14:paraId="2BA1B503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4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5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6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7" w14:textId="77777777" w:rsidR="00910DC9" w:rsidRPr="000B62AF" w:rsidRDefault="00910DC9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2BA1B508" w14:textId="77777777" w:rsidR="00910DC9" w:rsidRPr="000B62AF" w:rsidRDefault="00910DC9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910DC9" w:rsidRPr="000B62AF" w14:paraId="2BA1B50D" w14:textId="77777777">
        <w:trPr>
          <w:trHeight w:val="8442"/>
        </w:trPr>
        <w:tc>
          <w:tcPr>
            <w:tcW w:w="135" w:type="dxa"/>
          </w:tcPr>
          <w:p w14:paraId="2BA1B50A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5" w:type="dxa"/>
          </w:tcPr>
          <w:p w14:paraId="2BA1B50B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075" w:type="dxa"/>
          </w:tcPr>
          <w:p w14:paraId="2BA1B50C" w14:textId="77777777" w:rsidR="00910DC9" w:rsidRPr="000B62AF" w:rsidRDefault="00910DC9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  <w:tr w:rsidR="00910DC9" w:rsidRPr="000B62AF" w14:paraId="2BA1B50F" w14:textId="77777777">
        <w:trPr>
          <w:gridAfter w:val="2"/>
          <w:wAfter w:w="9210" w:type="dxa"/>
          <w:trHeight w:val="44"/>
        </w:trPr>
        <w:tc>
          <w:tcPr>
            <w:tcW w:w="135" w:type="dxa"/>
          </w:tcPr>
          <w:p w14:paraId="2BA1B50E" w14:textId="77777777" w:rsidR="00910DC9" w:rsidRPr="000B62AF" w:rsidRDefault="00910DC9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</w:tr>
    </w:tbl>
    <w:p w14:paraId="2BA1B510" w14:textId="77777777" w:rsidR="00910DC9" w:rsidRPr="000B62AF" w:rsidRDefault="00910DC9">
      <w:pPr>
        <w:spacing w:line="240" w:lineRule="auto"/>
        <w:rPr>
          <w:rFonts w:ascii="Aptos" w:eastAsia="Aptos" w:hAnsi="Aptos" w:cs="Aptos"/>
          <w:sz w:val="20"/>
          <w:szCs w:val="20"/>
        </w:rPr>
      </w:pPr>
    </w:p>
    <w:p w14:paraId="2BA1B511" w14:textId="77777777" w:rsidR="00910DC9" w:rsidRDefault="00910DC9"/>
    <w:sectPr w:rsidR="00910DC9" w:rsidSect="00405832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B517" w14:textId="77777777" w:rsidR="000B62AF" w:rsidRPr="000B62AF" w:rsidRDefault="000B62AF">
      <w:pPr>
        <w:spacing w:line="240" w:lineRule="auto"/>
      </w:pPr>
      <w:r w:rsidRPr="000B62AF">
        <w:separator/>
      </w:r>
    </w:p>
  </w:endnote>
  <w:endnote w:type="continuationSeparator" w:id="0">
    <w:p w14:paraId="2BA1B519" w14:textId="77777777" w:rsidR="000B62AF" w:rsidRPr="000B62AF" w:rsidRDefault="000B62AF">
      <w:pPr>
        <w:spacing w:line="240" w:lineRule="auto"/>
      </w:pPr>
      <w:r w:rsidRPr="000B62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19D93D-E9DA-4887-B366-EA2594D4C8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001C4C8-7D32-4560-907A-7BD73A2B9C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B532EA-DF3B-4ACF-98E0-7D8A18B40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82548F-D820-4A5B-851C-83542DE586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B513" w14:textId="77777777" w:rsidR="000B62AF" w:rsidRPr="000B62AF" w:rsidRDefault="000B62AF">
      <w:pPr>
        <w:spacing w:line="240" w:lineRule="auto"/>
      </w:pPr>
      <w:r w:rsidRPr="000B62AF">
        <w:separator/>
      </w:r>
    </w:p>
  </w:footnote>
  <w:footnote w:type="continuationSeparator" w:id="0">
    <w:p w14:paraId="2BA1B515" w14:textId="77777777" w:rsidR="000B62AF" w:rsidRPr="000B62AF" w:rsidRDefault="000B62AF">
      <w:pPr>
        <w:spacing w:line="240" w:lineRule="auto"/>
      </w:pPr>
      <w:r w:rsidRPr="000B62A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B512" w14:textId="454C1B9C" w:rsidR="00910DC9" w:rsidRPr="000B62AF" w:rsidRDefault="000B62AF" w:rsidP="000B62AF">
    <w:pPr>
      <w:tabs>
        <w:tab w:val="center" w:pos="4513"/>
        <w:tab w:val="right" w:pos="9026"/>
      </w:tabs>
      <w:spacing w:line="240" w:lineRule="auto"/>
      <w:jc w:val="center"/>
      <w:rPr>
        <w:lang w:val="es-E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E58B406" wp14:editId="13CBF8A8">
          <wp:simplePos x="0" y="0"/>
          <wp:positionH relativeFrom="margin">
            <wp:posOffset>95416</wp:posOffset>
          </wp:positionH>
          <wp:positionV relativeFrom="paragraph">
            <wp:posOffset>-453501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9D4D" w14:textId="2BFFEC6C" w:rsidR="00405832" w:rsidRDefault="00405832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24D19AE" wp14:editId="4874D63F">
          <wp:simplePos x="0" y="0"/>
          <wp:positionH relativeFrom="column">
            <wp:posOffset>3652520</wp:posOffset>
          </wp:positionH>
          <wp:positionV relativeFrom="paragraph">
            <wp:posOffset>-317500</wp:posOffset>
          </wp:positionV>
          <wp:extent cx="2092960" cy="556895"/>
          <wp:effectExtent l="0" t="0" r="2540" b="0"/>
          <wp:wrapSquare wrapText="bothSides"/>
          <wp:docPr id="931032822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4D172428" wp14:editId="5EF71887">
          <wp:simplePos x="0" y="0"/>
          <wp:positionH relativeFrom="margin">
            <wp:posOffset>0</wp:posOffset>
          </wp:positionH>
          <wp:positionV relativeFrom="paragraph">
            <wp:posOffset>-453500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4439695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B1D83"/>
    <w:multiLevelType w:val="multilevel"/>
    <w:tmpl w:val="9DB23D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3891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C9"/>
    <w:rsid w:val="000B62AF"/>
    <w:rsid w:val="00405832"/>
    <w:rsid w:val="00910DC9"/>
    <w:rsid w:val="00A2623C"/>
    <w:rsid w:val="00B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B4AB"/>
  <w15:docId w15:val="{1F665020-8D24-4914-9602-8908E2A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62A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2AF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0B62A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2AF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326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3</cp:revision>
  <dcterms:created xsi:type="dcterms:W3CDTF">2025-10-16T17:14:00Z</dcterms:created>
  <dcterms:modified xsi:type="dcterms:W3CDTF">2025-10-16T17:19:00Z</dcterms:modified>
</cp:coreProperties>
</file>